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宋体" w:hAnsi="宋体" w:eastAsia="宋体" w:cs="宋体"/>
          <w:i w:val="0"/>
          <w:caps w:val="0"/>
          <w:color w:val="auto"/>
          <w:spacing w:val="0"/>
          <w:sz w:val="36"/>
          <w:szCs w:val="36"/>
          <w:shd w:val="clear" w:fill="FFFFFF"/>
          <w:lang w:val="en-US" w:eastAsia="zh-CN"/>
        </w:rPr>
      </w:pPr>
      <w:r>
        <w:rPr>
          <w:rFonts w:hint="eastAsia" w:asciiTheme="minorEastAsia" w:hAnsiTheme="minorEastAsia" w:eastAsiaTheme="minorEastAsia" w:cstheme="minorEastAsia"/>
          <w:color w:val="auto"/>
          <w:sz w:val="44"/>
          <w:szCs w:val="44"/>
          <w:lang w:val="en-US" w:eastAsia="zh-CN"/>
        </w:rPr>
        <w:t>十堰市汽车工业文化遗产保护办法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w:t>
      </w:r>
      <w:r>
        <w:rPr>
          <w:rFonts w:hint="eastAsia" w:ascii="仿宋_GB2312" w:hAnsi="仿宋_GB2312" w:eastAsia="仿宋_GB2312"/>
          <w:color w:val="212529"/>
          <w:sz w:val="32"/>
          <w:szCs w:val="24"/>
          <w:lang w:val="en-US"/>
        </w:rPr>
        <w:t>2018年1月31日十堰市人民政府令第2号公布 自2018年3月1日起施行</w:t>
      </w:r>
      <w:r>
        <w:rPr>
          <w:rFonts w:hint="eastAsia" w:ascii="楷体_GB2312" w:hAnsi="楷体_GB2312" w:eastAsia="楷体_GB2312" w:cs="楷体_GB2312"/>
          <w:i w:val="0"/>
          <w:caps w:val="0"/>
          <w:color w:val="333333"/>
          <w:spacing w:val="0"/>
          <w:sz w:val="32"/>
          <w:szCs w:val="32"/>
          <w:shd w:val="clear" w:fill="FFFFFF"/>
          <w:lang w:val="en-US" w:eastAsia="zh-CN"/>
        </w:rPr>
        <w:t>)</w:t>
      </w:r>
    </w:p>
    <w:p>
      <w:pPr>
        <w:rPr>
          <w:rFonts w:hint="eastAsia" w:ascii="黑体" w:hAnsi="黑体" w:eastAsia="黑体" w:cs="黑体"/>
          <w:i w:val="0"/>
          <w:caps w:val="0"/>
          <w:color w:val="333333"/>
          <w:spacing w:val="0"/>
          <w:sz w:val="32"/>
          <w:szCs w:val="32"/>
          <w:shd w:val="clear" w:fill="FFFFFF"/>
          <w:lang w:val="en-US" w:eastAsia="zh-CN"/>
        </w:rPr>
      </w:pPr>
    </w:p>
    <w:p>
      <w:pPr>
        <w:spacing w:beforeLines="0" w:afterLines="0"/>
        <w:ind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w:t>
      </w:r>
      <w:r>
        <w:rPr>
          <w:rFonts w:hint="eastAsia" w:ascii="仿宋_GB2312" w:hAnsi="仿宋_GB2312" w:eastAsia="仿宋_GB2312"/>
          <w:color w:val="212529"/>
          <w:sz w:val="32"/>
          <w:szCs w:val="24"/>
          <w:lang w:val="en-US"/>
        </w:rPr>
        <w:t>为加强汽车工业文化遗产的保护、开发与利用，促进城乡建设与历史文化协调发展，根据《中华人民共和国文物保护法》《中华人民共和国城乡规划法》《中华人民共和国非物质文化遗产法》等法律法规，结合本市实际，制定本办法</w:t>
      </w:r>
      <w:r>
        <w:rPr>
          <w:rFonts w:hint="eastAsia" w:ascii="仿宋_GB2312" w:hAnsi="仿宋_GB2312" w:eastAsia="仿宋_GB2312" w:cs="仿宋_GB2312"/>
          <w:i w:val="0"/>
          <w:caps w:val="0"/>
          <w:color w:val="333333"/>
          <w:spacing w:val="0"/>
          <w:sz w:val="32"/>
          <w:szCs w:val="32"/>
          <w:shd w:val="clear" w:fill="FFFFFF"/>
          <w:lang w:val="en-US" w:eastAsia="zh-CN"/>
        </w:rPr>
        <w:t>。</w:t>
      </w:r>
    </w:p>
    <w:p>
      <w:pPr>
        <w:spacing w:beforeLines="0" w:afterLines="0"/>
        <w:ind w:firstLine="640" w:firstLineChars="200"/>
        <w:jc w:val="left"/>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第二条 </w:t>
      </w:r>
      <w:r>
        <w:rPr>
          <w:rFonts w:hint="eastAsia" w:ascii="仿宋_GB2312" w:hAnsi="仿宋_GB2312" w:eastAsia="仿宋_GB2312"/>
          <w:color w:val="212529"/>
          <w:sz w:val="32"/>
          <w:szCs w:val="24"/>
          <w:lang w:val="en-US"/>
        </w:rPr>
        <w:t>本市行政区域内汽车工业文化遗产的监督管理、普查认定、保护利用等工作适用本办法。</w:t>
      </w:r>
    </w:p>
    <w:p>
      <w:pPr>
        <w:spacing w:beforeLines="0" w:afterLines="0"/>
        <w:ind w:firstLine="640" w:firstLineChars="200"/>
        <w:jc w:val="left"/>
        <w:rPr>
          <w:rFonts w:hint="eastAsia" w:ascii="仿宋_GB2312" w:hAnsi="仿宋_GB2312" w:eastAsia="仿宋_GB2312"/>
          <w:color w:val="212529"/>
          <w:sz w:val="32"/>
          <w:szCs w:val="24"/>
          <w:lang w:val="en-US"/>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w:t>
      </w:r>
      <w:r>
        <w:rPr>
          <w:rFonts w:hint="eastAsia" w:ascii="仿宋_GB2312" w:hAnsi="仿宋_GB2312" w:eastAsia="仿宋_GB2312"/>
          <w:color w:val="212529"/>
          <w:sz w:val="32"/>
          <w:szCs w:val="24"/>
          <w:lang w:val="en-US"/>
        </w:rPr>
        <w:t>本办法所称汽车工业文化遗产，是指在汽车工业建设和发展过程中产生的具有一定的历史、社会、人文、建筑、科技和审美价值的物质文化遗产和非物质文化遗产。</w:t>
      </w:r>
    </w:p>
    <w:p>
      <w:pPr>
        <w:spacing w:beforeLines="0" w:afterLines="0"/>
        <w:jc w:val="left"/>
        <w:rPr>
          <w:rFonts w:hint="eastAsia" w:ascii="仿宋_GB2312" w:hAnsi="仿宋_GB2312" w:eastAsia="仿宋_GB2312"/>
          <w:color w:val="212529"/>
          <w:sz w:val="32"/>
          <w:szCs w:val="24"/>
          <w:lang w:val="en-US"/>
        </w:rPr>
      </w:pPr>
      <w:r>
        <w:rPr>
          <w:rFonts w:hint="eastAsia" w:ascii="仿宋_GB2312" w:hAnsi="仿宋_GB2312" w:eastAsia="仿宋_GB2312"/>
          <w:color w:val="212529"/>
          <w:sz w:val="32"/>
          <w:szCs w:val="24"/>
          <w:lang w:val="en-US"/>
        </w:rPr>
        <w:t>　　物质文化遗产包括不可移动物和可移动物。不可移动物主要包括车间、作坊、厂房、仓库等生产设施，铁路、道路、码头、桥梁等运输基础设施，住房、文化、教育、体育等生活服务设施。可移动物主要包括机器设备、生产工具、办公用具、生活用具等。</w:t>
      </w:r>
    </w:p>
    <w:p>
      <w:pPr>
        <w:spacing w:beforeLines="0" w:afterLines="0"/>
        <w:ind w:firstLine="640" w:firstLineChars="200"/>
        <w:jc w:val="left"/>
        <w:rPr>
          <w:rFonts w:hint="eastAsia" w:ascii="仿宋_GB2312" w:hAnsi="仿宋_GB2312" w:eastAsia="仿宋_GB2312"/>
          <w:color w:val="212529"/>
          <w:sz w:val="32"/>
          <w:szCs w:val="24"/>
          <w:lang w:val="en-US"/>
        </w:rPr>
      </w:pPr>
      <w:r>
        <w:rPr>
          <w:rFonts w:hint="eastAsia" w:ascii="仿宋_GB2312" w:hAnsi="仿宋_GB2312" w:eastAsia="仿宋_GB2312"/>
          <w:color w:val="212529"/>
          <w:sz w:val="32"/>
          <w:szCs w:val="24"/>
          <w:lang w:val="en-US"/>
        </w:rPr>
        <w:t>非物质文化遗产包括纸质档案、电子档案、音频视频、历史照片、图书资料、工艺流程数据、商标徽章、商号、企业文化精</w:t>
      </w:r>
    </w:p>
    <w:p>
      <w:pPr>
        <w:spacing w:beforeLines="0" w:afterLines="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olor w:val="212529"/>
          <w:sz w:val="32"/>
          <w:szCs w:val="24"/>
          <w:lang w:val="en-US"/>
        </w:rPr>
        <w:t>神、企业故事、核心知识产权等反映汽车工业发展的历史记录或历史信息</w:t>
      </w:r>
      <w:r>
        <w:rPr>
          <w:rFonts w:hint="eastAsia" w:ascii="仿宋_GB2312" w:hAnsi="仿宋_GB2312" w:eastAsia="仿宋_GB2312" w:cs="仿宋_GB2312"/>
          <w:i w:val="0"/>
          <w:caps w:val="0"/>
          <w:color w:val="333333"/>
          <w:spacing w:val="0"/>
          <w:sz w:val="32"/>
          <w:szCs w:val="32"/>
          <w:shd w:val="clear" w:fill="FFFFFF"/>
          <w:lang w:val="en-US" w:eastAsia="zh-CN"/>
        </w:rPr>
        <w:t>。</w:t>
      </w:r>
    </w:p>
    <w:p>
      <w:pPr>
        <w:spacing w:beforeLines="0" w:afterLines="0"/>
        <w:ind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w:t>
      </w:r>
      <w:r>
        <w:rPr>
          <w:rFonts w:hint="eastAsia" w:ascii="仿宋_GB2312" w:hAnsi="仿宋_GB2312" w:eastAsia="仿宋_GB2312"/>
          <w:color w:val="212529"/>
          <w:sz w:val="32"/>
          <w:szCs w:val="24"/>
          <w:lang w:val="en-US"/>
        </w:rPr>
        <w:t>汽车工业文化遗产的保护与利用，应当遵循统筹规划、科学保护、严格管理、合理利用的原则，同城市历史风貌相协调，注重再利用和可持续发展。</w:t>
      </w:r>
    </w:p>
    <w:p>
      <w:pPr>
        <w:spacing w:beforeLines="0" w:afterLines="0"/>
        <w:ind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w:t>
      </w:r>
      <w:r>
        <w:rPr>
          <w:rFonts w:hint="eastAsia" w:ascii="仿宋_GB2312" w:hAnsi="仿宋_GB2312" w:eastAsia="仿宋_GB2312"/>
          <w:color w:val="212529"/>
          <w:sz w:val="32"/>
          <w:szCs w:val="24"/>
          <w:lang w:val="en-US"/>
        </w:rPr>
        <w:t>市人民政府对保护汽车工业文化遗产有突出贡献的组织或个人给予奖励，并提供必要的政策支持和经费保障</w:t>
      </w:r>
      <w:r>
        <w:rPr>
          <w:rFonts w:hint="eastAsia" w:ascii="仿宋_GB2312" w:hAnsi="仿宋_GB2312" w:eastAsia="仿宋_GB2312" w:cs="仿宋_GB2312"/>
          <w:i w:val="0"/>
          <w:caps w:val="0"/>
          <w:color w:val="333333"/>
          <w:spacing w:val="0"/>
          <w:sz w:val="32"/>
          <w:szCs w:val="32"/>
          <w:shd w:val="clear" w:fill="FFFFFF"/>
          <w:lang w:val="en-US" w:eastAsia="zh-CN"/>
        </w:rPr>
        <w:t>。</w:t>
      </w:r>
    </w:p>
    <w:p>
      <w:pPr>
        <w:spacing w:beforeLines="0" w:afterLines="0"/>
        <w:ind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w:t>
      </w:r>
      <w:r>
        <w:rPr>
          <w:rFonts w:hint="eastAsia" w:ascii="仿宋_GB2312" w:hAnsi="仿宋_GB2312" w:eastAsia="仿宋_GB2312"/>
          <w:color w:val="212529"/>
          <w:sz w:val="32"/>
          <w:szCs w:val="24"/>
          <w:lang w:val="en-US"/>
        </w:rPr>
        <w:t>市人民政府将汽车工业文化遗产保护纳入国民经济和社会发展规划以及城市总体规划。各县（市、区）人民政府（管委会）应当加强对汽车工业文化遗产保护工作的领导，动员各种社会力量参与汽车工业文化遗产的保护工作。</w:t>
      </w:r>
    </w:p>
    <w:p>
      <w:pPr>
        <w:spacing w:beforeLines="0" w:afterLines="0"/>
        <w:ind w:firstLine="640" w:firstLineChars="200"/>
        <w:jc w:val="left"/>
        <w:rPr>
          <w:rFonts w:hint="eastAsia" w:ascii="仿宋_GB2312" w:hAnsi="仿宋_GB2312" w:eastAsia="仿宋_GB2312"/>
          <w:color w:val="212529"/>
          <w:sz w:val="32"/>
          <w:szCs w:val="24"/>
          <w:lang w:val="en-US"/>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w:t>
      </w:r>
      <w:r>
        <w:rPr>
          <w:rFonts w:hint="eastAsia" w:ascii="仿宋_GB2312" w:hAnsi="仿宋_GB2312" w:eastAsia="仿宋_GB2312"/>
          <w:color w:val="212529"/>
          <w:sz w:val="32"/>
          <w:szCs w:val="24"/>
          <w:lang w:val="en-US"/>
        </w:rPr>
        <w:t>市人民政府与企业建立汽车工业文化遗产保护协商机制，研究汽车工业文化遗产保护工作，解决汽车工业文化遗产保护过程中的具体问题。</w:t>
      </w:r>
    </w:p>
    <w:p>
      <w:pPr>
        <w:spacing w:beforeLines="0" w:afterLines="0"/>
        <w:ind w:firstLine="640" w:firstLineChars="200"/>
        <w:jc w:val="left"/>
        <w:rPr>
          <w:rFonts w:hint="eastAsia" w:ascii="仿宋_GB2312" w:hAnsi="仿宋_GB2312" w:eastAsia="仿宋_GB2312"/>
          <w:color w:val="212529"/>
          <w:sz w:val="32"/>
          <w:szCs w:val="24"/>
          <w:lang w:val="en-US"/>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w:t>
      </w:r>
      <w:r>
        <w:rPr>
          <w:rFonts w:hint="eastAsia" w:ascii="仿宋_GB2312" w:hAnsi="仿宋_GB2312" w:eastAsia="仿宋_GB2312"/>
          <w:color w:val="212529"/>
          <w:sz w:val="32"/>
          <w:szCs w:val="24"/>
          <w:lang w:val="en-US"/>
        </w:rPr>
        <w:t>市文化行政主管部门负责全市汽车工业文化遗产的保护工作，对汽车工业文化遗产的保护实施监督管理。</w:t>
      </w:r>
    </w:p>
    <w:p>
      <w:pPr>
        <w:spacing w:beforeLines="0" w:afterLines="0"/>
        <w:jc w:val="left"/>
        <w:rPr>
          <w:rFonts w:hint="eastAsia" w:ascii="仿宋_GB2312" w:hAnsi="仿宋_GB2312" w:eastAsia="仿宋_GB2312"/>
          <w:color w:val="212529"/>
          <w:sz w:val="32"/>
          <w:szCs w:val="24"/>
          <w:lang w:val="en-US"/>
        </w:rPr>
      </w:pPr>
      <w:r>
        <w:rPr>
          <w:rFonts w:hint="eastAsia" w:ascii="仿宋_GB2312" w:hAnsi="仿宋_GB2312" w:eastAsia="仿宋_GB2312"/>
          <w:color w:val="212529"/>
          <w:sz w:val="32"/>
          <w:szCs w:val="24"/>
          <w:lang w:val="en-US"/>
        </w:rPr>
        <w:t>　　市规划主管部门应当根据城市总体规划，编制全市汽车工业文化遗产的保护利用专项规划。</w:t>
      </w:r>
    </w:p>
    <w:p>
      <w:pPr>
        <w:spacing w:beforeLines="0" w:afterLines="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olor w:val="212529"/>
          <w:sz w:val="32"/>
          <w:szCs w:val="24"/>
          <w:lang w:val="en-US"/>
        </w:rPr>
        <w:t>　　市发展和改革、财政、国土资源、住房和城乡建设、经济和信息化、交通运输、旅游、环境保护、公安、工商、商务、教育、档案、国有资产监管、城管综合执法、政企共建等部门和县（市、区）人民政府（管委会）、乡镇（街道办事处）应当按照各自的职责，共同做好汽车工业文化遗产保护工作。</w:t>
      </w:r>
    </w:p>
    <w:p>
      <w:pPr>
        <w:spacing w:beforeLines="0" w:afterLines="0"/>
        <w:ind w:firstLine="640" w:firstLineChars="200"/>
        <w:jc w:val="left"/>
        <w:rPr>
          <w:rFonts w:hint="eastAsia" w:ascii="仿宋_GB2312" w:hAnsi="仿宋_GB2312" w:eastAsia="仿宋_GB2312"/>
          <w:color w:val="212529"/>
          <w:sz w:val="32"/>
          <w:szCs w:val="24"/>
          <w:lang w:val="en-US"/>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w:t>
      </w:r>
      <w:r>
        <w:rPr>
          <w:rFonts w:hint="eastAsia" w:ascii="仿宋_GB2312" w:hAnsi="仿宋_GB2312" w:eastAsia="仿宋_GB2312"/>
          <w:color w:val="212529"/>
          <w:sz w:val="32"/>
          <w:szCs w:val="24"/>
          <w:lang w:val="en-US"/>
        </w:rPr>
        <w:t>市人民政府统一领导汽车工业文化遗产的普查工作，批准实施本市汽车工业文化遗产普查计划。</w:t>
      </w:r>
    </w:p>
    <w:p>
      <w:pPr>
        <w:spacing w:beforeLines="0" w:afterLines="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olor w:val="212529"/>
          <w:sz w:val="32"/>
          <w:szCs w:val="24"/>
          <w:lang w:val="en-US"/>
        </w:rPr>
        <w:t>　　市文化行政主管部门负责制订汽车工业文化遗产普查、评估和认定的具体办法，并组织实施。</w:t>
      </w:r>
    </w:p>
    <w:p>
      <w:pPr>
        <w:spacing w:beforeLines="0" w:afterLines="0"/>
        <w:ind w:firstLine="640" w:firstLineChars="200"/>
        <w:jc w:val="left"/>
        <w:rPr>
          <w:rFonts w:hint="eastAsia" w:ascii="仿宋_GB2312" w:hAnsi="仿宋_GB2312" w:eastAsia="仿宋_GB2312"/>
          <w:color w:val="212529"/>
          <w:sz w:val="32"/>
          <w:szCs w:val="24"/>
          <w:lang w:val="en-US"/>
        </w:rPr>
      </w:pPr>
      <w:r>
        <w:rPr>
          <w:rFonts w:hint="eastAsia" w:ascii="黑体" w:hAnsi="黑体" w:eastAsia="黑体" w:cs="黑体"/>
          <w:i w:val="0"/>
          <w:caps w:val="0"/>
          <w:color w:val="333333"/>
          <w:spacing w:val="0"/>
          <w:sz w:val="32"/>
          <w:szCs w:val="32"/>
          <w:shd w:val="clear" w:fill="FFFFFF"/>
          <w:lang w:val="en-US" w:eastAsia="zh-CN"/>
        </w:rPr>
        <w:t>第十条 </w:t>
      </w:r>
      <w:r>
        <w:rPr>
          <w:rFonts w:hint="eastAsia" w:ascii="仿宋_GB2312" w:hAnsi="仿宋_GB2312" w:eastAsia="仿宋_GB2312"/>
          <w:color w:val="212529"/>
          <w:sz w:val="32"/>
          <w:szCs w:val="24"/>
          <w:lang w:val="en-US"/>
        </w:rPr>
        <w:t>县（市、区）人民政府（管委会）应当明确相关机构具体负责本辖区内汽车工业文化遗产普查工作。</w:t>
      </w:r>
    </w:p>
    <w:p>
      <w:pPr>
        <w:spacing w:beforeLines="0" w:afterLines="0"/>
        <w:ind w:firstLine="640"/>
        <w:jc w:val="left"/>
        <w:rPr>
          <w:rFonts w:hint="eastAsia" w:ascii="仿宋_GB2312" w:hAnsi="仿宋_GB2312" w:eastAsia="仿宋_GB2312"/>
          <w:color w:val="212529"/>
          <w:sz w:val="32"/>
          <w:szCs w:val="24"/>
          <w:lang w:val="en-US"/>
        </w:rPr>
      </w:pPr>
      <w:r>
        <w:rPr>
          <w:rFonts w:hint="eastAsia" w:ascii="仿宋_GB2312" w:hAnsi="仿宋_GB2312" w:eastAsia="仿宋_GB2312"/>
          <w:color w:val="212529"/>
          <w:sz w:val="32"/>
          <w:szCs w:val="24"/>
          <w:lang w:val="en-US"/>
        </w:rPr>
        <w:t>普查机构及其工作人员应当妥善保存普查数据和资料，对普查中涉及的国家秘密、商业秘密和个人隐私，应当履行保密义务。</w:t>
      </w:r>
    </w:p>
    <w:p>
      <w:pPr>
        <w:spacing w:beforeLines="0" w:afterLines="0"/>
        <w:jc w:val="left"/>
        <w:rPr>
          <w:rFonts w:hint="eastAsia" w:ascii="仿宋_GB2312" w:hAnsi="仿宋_GB2312" w:eastAsia="仿宋_GB2312"/>
          <w:color w:val="212529"/>
          <w:sz w:val="32"/>
          <w:szCs w:val="24"/>
          <w:lang w:val="en-US"/>
        </w:rPr>
      </w:pPr>
      <w:r>
        <w:rPr>
          <w:rFonts w:hint="eastAsia" w:ascii="仿宋_GB2312" w:hAnsi="仿宋_GB2312" w:eastAsia="仿宋_GB2312"/>
          <w:color w:val="212529"/>
          <w:sz w:val="32"/>
          <w:szCs w:val="24"/>
          <w:lang w:val="en-US"/>
        </w:rPr>
        <w:t>　　任何单位和个人不得虚报、瞒报、拒报，伪造、篡改普查资料。</w:t>
      </w:r>
    </w:p>
    <w:p>
      <w:pPr>
        <w:spacing w:beforeLines="0" w:afterLines="0"/>
        <w:ind w:firstLine="640" w:firstLineChars="200"/>
        <w:jc w:val="left"/>
        <w:rPr>
          <w:rFonts w:hint="eastAsia" w:ascii="仿宋_GB2312" w:hAnsi="仿宋_GB2312" w:eastAsia="仿宋_GB2312"/>
          <w:color w:val="212529"/>
          <w:sz w:val="32"/>
          <w:szCs w:val="24"/>
          <w:lang w:val="en-US"/>
        </w:rPr>
      </w:pPr>
      <w:r>
        <w:rPr>
          <w:rFonts w:hint="eastAsia" w:ascii="黑体" w:hAnsi="黑体" w:eastAsia="黑体" w:cs="黑体"/>
          <w:i w:val="0"/>
          <w:caps w:val="0"/>
          <w:color w:val="333333"/>
          <w:spacing w:val="0"/>
          <w:sz w:val="32"/>
          <w:szCs w:val="32"/>
          <w:shd w:val="clear" w:fill="FFFFFF"/>
          <w:lang w:val="en-US" w:eastAsia="zh-CN"/>
        </w:rPr>
        <w:t>第十一条 </w:t>
      </w:r>
      <w:r>
        <w:rPr>
          <w:rFonts w:hint="eastAsia" w:ascii="仿宋_GB2312" w:hAnsi="仿宋_GB2312" w:eastAsia="仿宋_GB2312"/>
          <w:color w:val="212529"/>
          <w:sz w:val="32"/>
          <w:szCs w:val="24"/>
          <w:lang w:val="en-US"/>
        </w:rPr>
        <w:t>汽车工业文化遗产的所有人或使用人可以向文化</w:t>
      </w:r>
    </w:p>
    <w:p>
      <w:pPr>
        <w:spacing w:beforeLines="0" w:afterLines="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olor w:val="212529"/>
          <w:sz w:val="32"/>
          <w:szCs w:val="24"/>
          <w:lang w:val="en-US"/>
        </w:rPr>
        <w:t>行政主管部门申报汽车工业文化遗产，其他组织或个人可以向文化行政主管部门推荐汽车工业文化遗产。</w:t>
      </w:r>
    </w:p>
    <w:p>
      <w:pPr>
        <w:spacing w:beforeLines="0" w:afterLines="0"/>
        <w:ind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第十二条 </w:t>
      </w:r>
      <w:r>
        <w:rPr>
          <w:rFonts w:hint="eastAsia" w:ascii="仿宋_GB2312" w:hAnsi="仿宋_GB2312" w:eastAsia="仿宋_GB2312"/>
          <w:color w:val="212529"/>
          <w:sz w:val="32"/>
          <w:szCs w:val="24"/>
          <w:lang w:val="en-US"/>
        </w:rPr>
        <w:t>市人民政府设立汽车工业文化遗产保护专家咨询委员会（以下简称专家咨询委员会），负责汽车工业文化遗产的评审工作，为市人民政府决策提供咨询意见。</w:t>
      </w:r>
    </w:p>
    <w:p>
      <w:pPr>
        <w:spacing w:beforeLines="0" w:afterLines="0"/>
        <w:ind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w:t>
      </w:r>
      <w:r>
        <w:rPr>
          <w:rFonts w:hint="eastAsia" w:ascii="仿宋_GB2312" w:hAnsi="仿宋_GB2312" w:eastAsia="仿宋_GB2312"/>
          <w:color w:val="212529"/>
          <w:sz w:val="32"/>
          <w:szCs w:val="24"/>
          <w:lang w:val="en-US"/>
        </w:rPr>
        <w:t>市文化行政主管部门应当会同相关部门在普查、申报或者推荐的基础上，进行保护价值的评估，提出汽车工业文化遗产建议名录，征求所有人、使用人以及社会公众的意见后，经专家咨询委员会评审，报市人民政府批准后公布</w:t>
      </w:r>
      <w:r>
        <w:rPr>
          <w:rFonts w:hint="eastAsia" w:ascii="仿宋_GB2312" w:hAnsi="仿宋_GB2312" w:eastAsia="仿宋_GB2312" w:cs="仿宋_GB2312"/>
          <w:i w:val="0"/>
          <w:caps w:val="0"/>
          <w:color w:val="333333"/>
          <w:spacing w:val="0"/>
          <w:sz w:val="32"/>
          <w:szCs w:val="32"/>
          <w:shd w:val="clear" w:fill="FFFFFF"/>
          <w:lang w:val="en-US" w:eastAsia="zh-CN"/>
        </w:rPr>
        <w:t>。</w:t>
      </w:r>
    </w:p>
    <w:p>
      <w:pPr>
        <w:spacing w:beforeLines="0" w:afterLines="0"/>
        <w:ind w:firstLine="640" w:firstLineChars="200"/>
        <w:jc w:val="left"/>
        <w:rPr>
          <w:rFonts w:hint="eastAsia" w:ascii="仿宋_GB2312" w:hAnsi="仿宋_GB2312" w:eastAsia="仿宋_GB2312"/>
          <w:color w:val="212529"/>
          <w:sz w:val="32"/>
          <w:szCs w:val="24"/>
          <w:lang w:val="en-US"/>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w:t>
      </w:r>
      <w:r>
        <w:rPr>
          <w:rFonts w:hint="eastAsia" w:ascii="仿宋_GB2312" w:hAnsi="仿宋_GB2312" w:eastAsia="仿宋_GB2312"/>
          <w:color w:val="212529"/>
          <w:sz w:val="32"/>
          <w:szCs w:val="24"/>
          <w:lang w:val="en-US"/>
        </w:rPr>
        <w:t>符合下列条件之一的不可移动的汽车工业文化遗产，报市人民政府同意后，公布为文物保护单位或者优秀历史建筑：</w:t>
      </w:r>
    </w:p>
    <w:p>
      <w:pPr>
        <w:spacing w:beforeLines="0" w:afterLines="0"/>
        <w:jc w:val="left"/>
        <w:rPr>
          <w:rFonts w:hint="eastAsia" w:ascii="仿宋_GB2312" w:hAnsi="仿宋_GB2312" w:eastAsia="仿宋_GB2312"/>
          <w:color w:val="212529"/>
          <w:sz w:val="32"/>
          <w:szCs w:val="24"/>
          <w:lang w:val="en-US"/>
        </w:rPr>
      </w:pPr>
      <w:r>
        <w:rPr>
          <w:rFonts w:hint="eastAsia" w:ascii="仿宋_GB2312" w:hAnsi="仿宋_GB2312" w:eastAsia="仿宋_GB2312"/>
          <w:color w:val="212529"/>
          <w:sz w:val="32"/>
          <w:szCs w:val="24"/>
          <w:lang w:val="en-US"/>
        </w:rPr>
        <w:t>　　（一）在相应时期内具有稀有性、唯一性和全国影响性等特点；</w:t>
      </w:r>
    </w:p>
    <w:p>
      <w:pPr>
        <w:spacing w:beforeLines="0" w:afterLines="0"/>
        <w:jc w:val="left"/>
        <w:rPr>
          <w:rFonts w:hint="eastAsia" w:ascii="仿宋_GB2312" w:hAnsi="仿宋_GB2312" w:eastAsia="仿宋_GB2312"/>
          <w:color w:val="212529"/>
          <w:sz w:val="32"/>
          <w:szCs w:val="24"/>
          <w:lang w:val="en-US"/>
        </w:rPr>
      </w:pPr>
      <w:r>
        <w:rPr>
          <w:rFonts w:hint="eastAsia" w:ascii="仿宋_GB2312" w:hAnsi="仿宋_GB2312" w:eastAsia="仿宋_GB2312"/>
          <w:color w:val="212529"/>
          <w:sz w:val="32"/>
          <w:szCs w:val="24"/>
          <w:lang w:val="en-US"/>
        </w:rPr>
        <w:t>　　（二）企业布局或建筑结构较为完整，并具有时代和地域特色；</w:t>
      </w:r>
    </w:p>
    <w:p>
      <w:pPr>
        <w:spacing w:beforeLines="0" w:afterLines="0"/>
        <w:jc w:val="left"/>
        <w:rPr>
          <w:rFonts w:hint="eastAsia" w:ascii="仿宋_GB2312" w:hAnsi="仿宋_GB2312" w:eastAsia="仿宋_GB2312"/>
          <w:color w:val="212529"/>
          <w:sz w:val="32"/>
          <w:szCs w:val="24"/>
          <w:lang w:val="en-US"/>
        </w:rPr>
      </w:pPr>
      <w:r>
        <w:rPr>
          <w:rFonts w:hint="eastAsia" w:ascii="仿宋_GB2312" w:hAnsi="仿宋_GB2312" w:eastAsia="仿宋_GB2312"/>
          <w:color w:val="212529"/>
          <w:sz w:val="32"/>
          <w:szCs w:val="24"/>
          <w:lang w:val="en-US"/>
        </w:rPr>
        <w:t>　　（三）为汽车工业建设和发展做出重大贡献的专家群体住地及公益建筑等遗址；　</w:t>
      </w:r>
    </w:p>
    <w:p>
      <w:pPr>
        <w:spacing w:beforeLines="0" w:afterLines="0"/>
        <w:ind w:firstLine="640" w:firstLineChars="200"/>
        <w:jc w:val="left"/>
        <w:rPr>
          <w:rFonts w:hint="eastAsia" w:ascii="仿宋_GB2312" w:hAnsi="仿宋_GB2312" w:eastAsia="仿宋_GB2312"/>
          <w:color w:val="212529"/>
          <w:sz w:val="32"/>
          <w:szCs w:val="24"/>
          <w:lang w:val="en-US"/>
        </w:rPr>
      </w:pPr>
      <w:r>
        <w:rPr>
          <w:rFonts w:hint="eastAsia" w:ascii="仿宋_GB2312" w:hAnsi="仿宋_GB2312" w:eastAsia="仿宋_GB2312"/>
          <w:color w:val="212529"/>
          <w:sz w:val="32"/>
          <w:szCs w:val="24"/>
          <w:lang w:val="en-US"/>
        </w:rPr>
        <w:t>（四）其他符合文物保护或者优秀历史建筑的情形。</w:t>
      </w:r>
    </w:p>
    <w:p>
      <w:pPr>
        <w:spacing w:beforeLines="0" w:afterLines="0"/>
        <w:ind w:firstLine="640" w:firstLineChars="200"/>
        <w:jc w:val="left"/>
        <w:rPr>
          <w:rFonts w:hint="eastAsia" w:ascii="仿宋_GB2312" w:hAnsi="仿宋_GB2312" w:eastAsia="仿宋_GB2312"/>
          <w:color w:val="212529"/>
          <w:sz w:val="32"/>
          <w:szCs w:val="24"/>
          <w:lang w:val="en-US"/>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w:t>
      </w:r>
      <w:r>
        <w:rPr>
          <w:rFonts w:hint="eastAsia" w:ascii="仿宋_GB2312" w:hAnsi="仿宋_GB2312" w:eastAsia="仿宋_GB2312"/>
          <w:color w:val="212529"/>
          <w:sz w:val="32"/>
          <w:szCs w:val="24"/>
          <w:lang w:val="en-US"/>
        </w:rPr>
        <w:t>汽车工业文化遗产所在的县（市、区）人民政府（管委会）应当在经公布为文物保护单位或者优秀历史建筑内划定保护范围和建设控制地带，设立保护标志（识）、界桩等保护设施，经与市文化行政主管部门商定后报市人民政府批准后实施。任何组织和个人不得擅自移动、损毁保护设施。</w:t>
      </w:r>
      <w:r>
        <w:rPr>
          <w:rFonts w:hint="eastAsia" w:ascii="黑体" w:hAnsi="黑体" w:eastAsia="黑体" w:cs="黑体"/>
          <w:i w:val="0"/>
          <w:caps w:val="0"/>
          <w:color w:val="333333"/>
          <w:spacing w:val="0"/>
          <w:sz w:val="32"/>
          <w:szCs w:val="32"/>
          <w:shd w:val="clear" w:fill="FFFFFF"/>
          <w:lang w:val="en-US" w:eastAsia="zh-CN"/>
        </w:rPr>
        <w:br w:type="textWrapping"/>
      </w:r>
      <w:r>
        <w:rPr>
          <w:rFonts w:hint="eastAsia" w:ascii="黑体" w:hAnsi="黑体" w:eastAsia="黑体" w:cs="黑体"/>
          <w:i w:val="0"/>
          <w:caps w:val="0"/>
          <w:color w:val="333333"/>
          <w:spacing w:val="0"/>
          <w:sz w:val="32"/>
          <w:szCs w:val="32"/>
          <w:shd w:val="clear" w:fill="FFFFFF"/>
          <w:lang w:val="en-US" w:eastAsia="zh-CN"/>
        </w:rPr>
        <w:t xml:space="preserve">    第十六条 </w:t>
      </w:r>
      <w:r>
        <w:rPr>
          <w:rFonts w:hint="eastAsia" w:ascii="仿宋_GB2312" w:hAnsi="仿宋_GB2312" w:eastAsia="仿宋_GB2312"/>
          <w:color w:val="212529"/>
          <w:sz w:val="32"/>
          <w:szCs w:val="24"/>
          <w:lang w:val="en-US"/>
        </w:rPr>
        <w:t>汽车工业文化遗产的所有人或使用人为汽车工业文化遗产的管理责任人，负责汽车工业文化遗产的日常维护管理工作。</w:t>
      </w:r>
    </w:p>
    <w:p>
      <w:pPr>
        <w:spacing w:beforeLines="0" w:afterLines="0"/>
        <w:jc w:val="left"/>
        <w:rPr>
          <w:rFonts w:hint="eastAsia" w:ascii="仿宋_GB2312" w:hAnsi="仿宋_GB2312" w:eastAsia="仿宋_GB2312"/>
          <w:color w:val="212529"/>
          <w:sz w:val="32"/>
          <w:szCs w:val="24"/>
          <w:lang w:val="en-US"/>
        </w:rPr>
      </w:pPr>
      <w:r>
        <w:rPr>
          <w:rFonts w:hint="eastAsia" w:ascii="仿宋_GB2312" w:hAnsi="仿宋_GB2312" w:eastAsia="仿宋_GB2312"/>
          <w:color w:val="212529"/>
          <w:sz w:val="32"/>
          <w:szCs w:val="24"/>
          <w:lang w:val="en-US"/>
        </w:rPr>
        <w:t>　　汽车工业文化遗产管理责任人由所在地县（市、区）人民</w:t>
      </w:r>
    </w:p>
    <w:p>
      <w:pPr>
        <w:spacing w:beforeLines="0" w:afterLines="0"/>
        <w:ind w:left="640" w:hanging="640" w:hangingChars="200"/>
        <w:jc w:val="left"/>
        <w:rPr>
          <w:rFonts w:hint="eastAsia" w:ascii="仿宋_GB2312" w:hAnsi="仿宋_GB2312" w:eastAsia="仿宋_GB2312"/>
          <w:color w:val="212529"/>
          <w:sz w:val="32"/>
          <w:szCs w:val="24"/>
          <w:lang w:val="en-US"/>
        </w:rPr>
      </w:pPr>
      <w:r>
        <w:rPr>
          <w:rFonts w:hint="eastAsia" w:ascii="仿宋_GB2312" w:hAnsi="仿宋_GB2312" w:eastAsia="仿宋_GB2312"/>
          <w:color w:val="212529"/>
          <w:sz w:val="32"/>
          <w:szCs w:val="24"/>
          <w:lang w:val="en-US"/>
        </w:rPr>
        <w:t>政府（管委会）文化行政主管部门向社会公示，明确管理责任。</w:t>
      </w:r>
      <w:r>
        <w:rPr>
          <w:rFonts w:hint="eastAsia" w:ascii="黑体" w:hAnsi="黑体" w:eastAsia="黑体" w:cs="黑体"/>
          <w:i w:val="0"/>
          <w:caps w:val="0"/>
          <w:color w:val="333333"/>
          <w:spacing w:val="0"/>
          <w:sz w:val="32"/>
          <w:szCs w:val="32"/>
          <w:shd w:val="clear" w:fill="FFFFFF"/>
          <w:lang w:val="en-US" w:eastAsia="zh-CN"/>
        </w:rPr>
        <w:br w:type="textWrapping"/>
      </w:r>
      <w:r>
        <w:rPr>
          <w:rFonts w:hint="eastAsia" w:ascii="黑体" w:hAnsi="黑体" w:eastAsia="黑体" w:cs="黑体"/>
          <w:i w:val="0"/>
          <w:caps w:val="0"/>
          <w:color w:val="333333"/>
          <w:spacing w:val="0"/>
          <w:sz w:val="32"/>
          <w:szCs w:val="32"/>
          <w:shd w:val="clear" w:fill="FFFFFF"/>
          <w:lang w:val="en-US" w:eastAsia="zh-CN"/>
        </w:rPr>
        <w:t>第十七条 </w:t>
      </w:r>
      <w:r>
        <w:rPr>
          <w:rFonts w:hint="eastAsia" w:ascii="仿宋_GB2312" w:hAnsi="仿宋_GB2312" w:eastAsia="仿宋_GB2312"/>
          <w:color w:val="212529"/>
          <w:sz w:val="32"/>
          <w:szCs w:val="24"/>
          <w:lang w:val="en-US"/>
        </w:rPr>
        <w:t>在文物保护单位的保护范围和建设控制地带内，</w:t>
      </w:r>
    </w:p>
    <w:p>
      <w:pPr>
        <w:spacing w:beforeLines="0" w:afterLines="0"/>
        <w:ind w:left="640" w:hanging="640" w:hangingChars="200"/>
        <w:jc w:val="left"/>
        <w:rPr>
          <w:rFonts w:hint="eastAsia" w:ascii="仿宋_GB2312" w:hAnsi="仿宋_GB2312" w:eastAsia="仿宋_GB2312"/>
          <w:color w:val="212529"/>
          <w:sz w:val="32"/>
          <w:szCs w:val="24"/>
          <w:lang w:val="en-US"/>
        </w:rPr>
      </w:pPr>
      <w:r>
        <w:rPr>
          <w:rFonts w:hint="eastAsia" w:ascii="仿宋_GB2312" w:hAnsi="仿宋_GB2312" w:eastAsia="仿宋_GB2312"/>
          <w:color w:val="212529"/>
          <w:sz w:val="32"/>
          <w:szCs w:val="24"/>
          <w:lang w:val="en-US"/>
        </w:rPr>
        <w:t>不得擅自进行与遗产保护无关的工程建设。</w:t>
      </w:r>
    </w:p>
    <w:p>
      <w:pPr>
        <w:spacing w:beforeLines="0" w:afterLines="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olor w:val="212529"/>
          <w:sz w:val="32"/>
          <w:szCs w:val="24"/>
          <w:lang w:val="en-US"/>
        </w:rPr>
        <w:t>　　因建设生产、生活设施等特殊情况需要作业的，应当符合汽车工业文化遗产保护利用专项规划，在确保汽车工业文化遗产安全的前提下，报市文化行政主管部门审批。</w:t>
      </w:r>
    </w:p>
    <w:p>
      <w:pPr>
        <w:spacing w:beforeLines="0" w:afterLines="0"/>
        <w:ind w:firstLine="640" w:firstLineChars="200"/>
        <w:jc w:val="left"/>
        <w:rPr>
          <w:rFonts w:hint="eastAsia" w:ascii="仿宋_GB2312" w:hAnsi="仿宋_GB2312" w:eastAsia="仿宋_GB2312"/>
          <w:color w:val="212529"/>
          <w:sz w:val="32"/>
          <w:szCs w:val="24"/>
          <w:lang w:val="en-US"/>
        </w:rPr>
      </w:pPr>
      <w:r>
        <w:rPr>
          <w:rFonts w:hint="eastAsia"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w:t>
      </w:r>
      <w:r>
        <w:rPr>
          <w:rFonts w:hint="eastAsia" w:ascii="仿宋_GB2312" w:hAnsi="仿宋_GB2312" w:eastAsia="仿宋_GB2312"/>
          <w:color w:val="212529"/>
          <w:sz w:val="32"/>
          <w:szCs w:val="24"/>
          <w:lang w:val="en-US"/>
        </w:rPr>
        <w:t>在优秀历史建筑的保护范围和建设控制地带内，不得破坏其历史风貌。</w:t>
      </w:r>
    </w:p>
    <w:p>
      <w:pPr>
        <w:spacing w:beforeLines="0" w:afterLines="0"/>
        <w:ind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olor w:val="212529"/>
          <w:sz w:val="32"/>
          <w:szCs w:val="24"/>
          <w:lang w:val="en-US"/>
        </w:rPr>
        <w:t>因建设生产、生活设施等特殊情况需要作业的，应当符合汽车工业文化遗产保护利用专项规划，报市文化行政主管部门备案。</w:t>
      </w:r>
    </w:p>
    <w:p>
      <w:pPr>
        <w:spacing w:beforeLines="0" w:afterLines="0"/>
        <w:ind w:firstLine="640" w:firstLineChars="200"/>
        <w:jc w:val="left"/>
        <w:rPr>
          <w:rFonts w:hint="eastAsia" w:ascii="仿宋_GB2312" w:hAnsi="仿宋_GB2312" w:eastAsia="仿宋_GB2312"/>
          <w:color w:val="212529"/>
          <w:sz w:val="32"/>
          <w:szCs w:val="24"/>
          <w:lang w:val="en-US"/>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w:t>
      </w:r>
      <w:r>
        <w:rPr>
          <w:rFonts w:hint="eastAsia" w:ascii="仿宋_GB2312" w:hAnsi="仿宋_GB2312" w:eastAsia="仿宋_GB2312"/>
          <w:color w:val="212529"/>
          <w:sz w:val="32"/>
          <w:szCs w:val="24"/>
          <w:lang w:val="en-US"/>
        </w:rPr>
        <w:t>汽车工业文化遗产的利用应当坚持保护性、控制性和抢救性开发的原则，在有效保护原有厂房、机器、建筑整体及工业景观的基础上，综合考虑遗产保护区域的生态价值。</w:t>
      </w:r>
    </w:p>
    <w:p>
      <w:pPr>
        <w:spacing w:beforeLines="0" w:afterLines="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olor w:val="212529"/>
          <w:sz w:val="32"/>
          <w:szCs w:val="24"/>
          <w:lang w:val="en-US"/>
        </w:rPr>
        <w:t>　　根据保护需要，结合汽车工业文化遗产的自身特点，可以进行功能置换，改建为专业博物馆、社区历史陈列馆、文化艺术创意中心、主题文化公园、工业旅游景区（点）、商业街区、商场超市等文化、体育、旅游、教育、商贸服务设施。</w:t>
      </w:r>
    </w:p>
    <w:p>
      <w:pPr>
        <w:spacing w:beforeLines="0" w:afterLines="0"/>
        <w:ind w:firstLine="640" w:firstLineChars="200"/>
        <w:jc w:val="left"/>
        <w:rPr>
          <w:rFonts w:hint="eastAsia" w:ascii="仿宋_GB2312" w:hAnsi="仿宋_GB2312" w:eastAsia="仿宋_GB2312"/>
          <w:color w:val="212529"/>
          <w:sz w:val="32"/>
          <w:szCs w:val="24"/>
          <w:lang w:val="en-US"/>
        </w:rPr>
      </w:pPr>
      <w:r>
        <w:rPr>
          <w:rFonts w:hint="eastAsia"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w:t>
      </w:r>
      <w:r>
        <w:rPr>
          <w:rFonts w:hint="eastAsia" w:ascii="仿宋_GB2312" w:hAnsi="仿宋_GB2312" w:eastAsia="仿宋_GB2312"/>
          <w:color w:val="212529"/>
          <w:sz w:val="32"/>
          <w:szCs w:val="24"/>
          <w:lang w:val="en-US"/>
        </w:rPr>
        <w:t>加强汽车工业文化遗产档案的收集征集、科学保护和开发利用，建立十堰市汽车工业文化遗产档案数据库，编研开发系列汽车工业文化产品。</w:t>
      </w:r>
    </w:p>
    <w:p>
      <w:pPr>
        <w:spacing w:beforeLines="0" w:afterLines="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olor w:val="212529"/>
          <w:sz w:val="32"/>
          <w:szCs w:val="24"/>
          <w:lang w:val="en-US"/>
        </w:rPr>
        <w:t>　　通过多种方式收集汽车工业文化遗产档案及其他实物资料，鼓励社会捐赠。</w:t>
      </w:r>
    </w:p>
    <w:p>
      <w:pPr>
        <w:spacing w:beforeLines="0" w:afterLines="0"/>
        <w:ind w:firstLine="640" w:firstLineChars="200"/>
        <w:jc w:val="left"/>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w:t>
      </w:r>
      <w:r>
        <w:rPr>
          <w:rFonts w:hint="eastAsia" w:ascii="仿宋_GB2312" w:hAnsi="仿宋_GB2312" w:eastAsia="仿宋_GB2312"/>
          <w:color w:val="212529"/>
          <w:sz w:val="32"/>
          <w:szCs w:val="24"/>
          <w:lang w:val="en-US"/>
        </w:rPr>
        <w:t>加强汽车工业文化遗产的宣传教育，增强全社会的保护意识。鼓励在中、小学校教育大纲中编写汽车工业文化遗产课程，在大、中院校设立汽车工业文化遗产科研教学基地。</w:t>
      </w:r>
      <w:bookmarkStart w:id="0" w:name="_GoBack"/>
      <w:bookmarkEnd w:id="0"/>
    </w:p>
    <w:p>
      <w:pPr>
        <w:spacing w:beforeLines="0" w:afterLines="0"/>
        <w:ind w:firstLine="640" w:firstLineChars="200"/>
        <w:jc w:val="left"/>
        <w:rPr>
          <w:rFonts w:hint="eastAsia" w:ascii="仿宋_GB2312" w:hAnsi="仿宋_GB2312" w:eastAsia="仿宋_GB2312"/>
          <w:color w:val="212529"/>
          <w:sz w:val="32"/>
          <w:szCs w:val="24"/>
          <w:lang w:val="en-US" w:eastAsia="zh-CN"/>
        </w:rPr>
      </w:pPr>
      <w:r>
        <w:rPr>
          <w:rFonts w:hint="eastAsia"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olor w:val="212529"/>
          <w:sz w:val="32"/>
          <w:szCs w:val="24"/>
          <w:lang w:val="en-US"/>
        </w:rPr>
        <w:t>违反本办法，法律法规有明确规定的，按其规定处理，并承担相应的法律责任</w:t>
      </w:r>
      <w:r>
        <w:rPr>
          <w:rFonts w:hint="eastAsia" w:ascii="仿宋_GB2312" w:hAnsi="仿宋_GB2312" w:eastAsia="仿宋_GB2312"/>
          <w:color w:val="212529"/>
          <w:sz w:val="32"/>
          <w:szCs w:val="24"/>
          <w:lang w:val="en-US" w:eastAsia="zh-CN"/>
        </w:rPr>
        <w:t>。</w:t>
      </w:r>
    </w:p>
    <w:p>
      <w:pPr>
        <w:spacing w:beforeLines="0" w:afterLines="0"/>
        <w:ind w:firstLine="640" w:firstLineChars="200"/>
        <w:jc w:val="left"/>
        <w:rPr>
          <w:rFonts w:hint="eastAsia" w:ascii="仿宋_GB2312" w:hAnsi="仿宋_GB2312" w:eastAsia="仿宋_GB2312"/>
          <w:color w:val="212529"/>
          <w:sz w:val="32"/>
          <w:szCs w:val="24"/>
          <w:lang w:val="en-US"/>
        </w:rPr>
      </w:pPr>
      <w:r>
        <w:rPr>
          <w:rFonts w:hint="eastAsia" w:ascii="黑体" w:hAnsi="黑体" w:eastAsia="黑体" w:cs="黑体"/>
          <w:i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olor w:val="212529"/>
          <w:sz w:val="32"/>
          <w:szCs w:val="24"/>
          <w:lang w:val="en-US"/>
        </w:rPr>
        <w:t>违反本办法第十五条、第十七条、第十八条规定的，由文化行政主管部门责令停止违法行为，赔偿损失，并对单位处以15万元以下的罚款，对个人处以2000元以下的罚款。</w:t>
      </w:r>
    </w:p>
    <w:p>
      <w:pPr>
        <w:spacing w:beforeLines="0" w:afterLines="0"/>
        <w:ind w:firstLine="640" w:firstLineChars="200"/>
        <w:jc w:val="left"/>
        <w:rPr>
          <w:rFonts w:hint="eastAsia" w:ascii="仿宋_GB2312" w:hAnsi="仿宋_GB2312" w:eastAsia="仿宋_GB2312"/>
          <w:color w:val="212529"/>
          <w:sz w:val="32"/>
          <w:szCs w:val="24"/>
          <w:lang w:val="en-US" w:eastAsia="zh-CN"/>
        </w:rPr>
      </w:pPr>
      <w:r>
        <w:rPr>
          <w:rFonts w:hint="eastAsia" w:ascii="黑体" w:hAnsi="黑体" w:eastAsia="黑体" w:cs="黑体"/>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olor w:val="212529"/>
          <w:sz w:val="32"/>
          <w:szCs w:val="24"/>
          <w:lang w:val="en-US"/>
        </w:rPr>
        <w:t>履行汽车工业文化遗产保护职责的管理部门及其管理责任人员因玩忽职守、滥用职权、徇私舞弊，造成汽车工业文化遗产破坏的，依法给予行政处分；情节严重构成犯罪的，依法追究刑事责任。</w:t>
      </w:r>
    </w:p>
    <w:p>
      <w:pPr>
        <w:spacing w:beforeLines="0" w:afterLines="0"/>
        <w:ind w:firstLine="640" w:firstLineChars="200"/>
        <w:jc w:val="left"/>
        <w:rPr>
          <w:rFonts w:hint="eastAsia" w:ascii="仿宋_GB2312" w:hAnsi="仿宋_GB2312" w:eastAsia="仿宋_GB2312"/>
          <w:color w:val="212529"/>
          <w:sz w:val="32"/>
          <w:szCs w:val="24"/>
          <w:lang w:val="en-US"/>
        </w:rPr>
      </w:pPr>
      <w:r>
        <w:rPr>
          <w:rFonts w:hint="eastAsia" w:ascii="黑体" w:hAnsi="黑体" w:eastAsia="黑体" w:cs="黑体"/>
          <w:i w:val="0"/>
          <w:caps w:val="0"/>
          <w:color w:val="333333"/>
          <w:spacing w:val="0"/>
          <w:sz w:val="32"/>
          <w:szCs w:val="32"/>
          <w:shd w:val="clear" w:fill="FFFFFF"/>
          <w:lang w:val="en-US" w:eastAsia="zh-CN"/>
        </w:rPr>
        <w:t>第二十五条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olor w:val="212529"/>
          <w:sz w:val="32"/>
          <w:szCs w:val="24"/>
          <w:lang w:val="en-US"/>
        </w:rPr>
        <w:t>本办法自2018年3月1日起施行。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X十堰十</w:t>
    </w:r>
    <w:r>
      <w:rPr>
        <w:rFonts w:hint="eastAsia" w:ascii="宋体" w:hAnsi="宋体" w:eastAsia="宋体" w:cs="宋体"/>
        <w:b/>
        <w:bCs/>
        <w:color w:val="005192"/>
        <w:sz w:val="28"/>
        <w:szCs w:val="44"/>
        <w:lang w:val="en-US" w:eastAsia="zh-CN"/>
      </w:rPr>
      <w:t xml:space="preserve">十堰市人民政府发布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十堰市</w:t>
    </w:r>
    <w:r>
      <w:rPr>
        <w:rFonts w:hint="eastAsia" w:ascii="宋体" w:hAnsi="宋体" w:eastAsia="宋体" w:cs="宋体"/>
        <w:b/>
        <w:bCs/>
        <w:color w:val="005192"/>
        <w:sz w:val="32"/>
        <w:lang w:eastAsia="zh-CN"/>
      </w:rPr>
      <w:t>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F7F7E"/>
    <w:rsid w:val="0046375D"/>
    <w:rsid w:val="005319D6"/>
    <w:rsid w:val="007D1AEF"/>
    <w:rsid w:val="00CD1788"/>
    <w:rsid w:val="00D03026"/>
    <w:rsid w:val="014F03EF"/>
    <w:rsid w:val="017117FD"/>
    <w:rsid w:val="01B36BD0"/>
    <w:rsid w:val="02447828"/>
    <w:rsid w:val="028E3199"/>
    <w:rsid w:val="029D518A"/>
    <w:rsid w:val="02C848FD"/>
    <w:rsid w:val="02D0730E"/>
    <w:rsid w:val="030F42DA"/>
    <w:rsid w:val="031F3DF1"/>
    <w:rsid w:val="03443858"/>
    <w:rsid w:val="034B2422"/>
    <w:rsid w:val="03675EC4"/>
    <w:rsid w:val="03AF786B"/>
    <w:rsid w:val="03B60BF9"/>
    <w:rsid w:val="043833BC"/>
    <w:rsid w:val="04441D61"/>
    <w:rsid w:val="048C0521"/>
    <w:rsid w:val="04A44EF6"/>
    <w:rsid w:val="04C133B2"/>
    <w:rsid w:val="05445D91"/>
    <w:rsid w:val="0575419C"/>
    <w:rsid w:val="05A038C6"/>
    <w:rsid w:val="05DE61E6"/>
    <w:rsid w:val="05ED01D7"/>
    <w:rsid w:val="06020126"/>
    <w:rsid w:val="06367DD0"/>
    <w:rsid w:val="06744454"/>
    <w:rsid w:val="06774F7B"/>
    <w:rsid w:val="06823015"/>
    <w:rsid w:val="06840B3B"/>
    <w:rsid w:val="069C40D7"/>
    <w:rsid w:val="06C929F2"/>
    <w:rsid w:val="06DE01DA"/>
    <w:rsid w:val="07416A2C"/>
    <w:rsid w:val="0788465B"/>
    <w:rsid w:val="079C0106"/>
    <w:rsid w:val="08744BDF"/>
    <w:rsid w:val="08A52FEB"/>
    <w:rsid w:val="09722ECD"/>
    <w:rsid w:val="09905A49"/>
    <w:rsid w:val="099948FD"/>
    <w:rsid w:val="09AB4631"/>
    <w:rsid w:val="09FC6C3A"/>
    <w:rsid w:val="0A252635"/>
    <w:rsid w:val="0A782765"/>
    <w:rsid w:val="0AD11E75"/>
    <w:rsid w:val="0AFF69E2"/>
    <w:rsid w:val="0B361FE4"/>
    <w:rsid w:val="0B957346"/>
    <w:rsid w:val="0BAA57E2"/>
    <w:rsid w:val="0BC814CA"/>
    <w:rsid w:val="0C0D15D3"/>
    <w:rsid w:val="0C430B50"/>
    <w:rsid w:val="0C4A1EDF"/>
    <w:rsid w:val="0C743400"/>
    <w:rsid w:val="0CB657C6"/>
    <w:rsid w:val="0CC72065"/>
    <w:rsid w:val="0D0E115E"/>
    <w:rsid w:val="0D0E73B0"/>
    <w:rsid w:val="0D164953"/>
    <w:rsid w:val="0D3D7C96"/>
    <w:rsid w:val="0D682F64"/>
    <w:rsid w:val="0D7F205C"/>
    <w:rsid w:val="0D896A37"/>
    <w:rsid w:val="0DA27AF9"/>
    <w:rsid w:val="0DA63A8D"/>
    <w:rsid w:val="0DB70F10"/>
    <w:rsid w:val="0DC7755F"/>
    <w:rsid w:val="0E1704E7"/>
    <w:rsid w:val="0E2F5830"/>
    <w:rsid w:val="0E370B89"/>
    <w:rsid w:val="0E9A417F"/>
    <w:rsid w:val="0EA0784E"/>
    <w:rsid w:val="0EBE6BB4"/>
    <w:rsid w:val="0F694D72"/>
    <w:rsid w:val="0F707EAE"/>
    <w:rsid w:val="0F9F2542"/>
    <w:rsid w:val="0FA1450C"/>
    <w:rsid w:val="10305890"/>
    <w:rsid w:val="10594DE6"/>
    <w:rsid w:val="108160EB"/>
    <w:rsid w:val="10A5627E"/>
    <w:rsid w:val="10D10E21"/>
    <w:rsid w:val="114A0BD3"/>
    <w:rsid w:val="11847C41"/>
    <w:rsid w:val="11BD5C04"/>
    <w:rsid w:val="120C624E"/>
    <w:rsid w:val="12152FD8"/>
    <w:rsid w:val="124318AA"/>
    <w:rsid w:val="12620EA7"/>
    <w:rsid w:val="12695089"/>
    <w:rsid w:val="12BB3B36"/>
    <w:rsid w:val="13293D5F"/>
    <w:rsid w:val="13413C91"/>
    <w:rsid w:val="1351449B"/>
    <w:rsid w:val="135D4BEE"/>
    <w:rsid w:val="137E2737"/>
    <w:rsid w:val="138C102F"/>
    <w:rsid w:val="138F28CD"/>
    <w:rsid w:val="13B10A95"/>
    <w:rsid w:val="13BC5DB8"/>
    <w:rsid w:val="13E744B7"/>
    <w:rsid w:val="13FA41EA"/>
    <w:rsid w:val="141334FE"/>
    <w:rsid w:val="14641FAC"/>
    <w:rsid w:val="149A777C"/>
    <w:rsid w:val="14A16D5C"/>
    <w:rsid w:val="14CF5677"/>
    <w:rsid w:val="14DC5FE6"/>
    <w:rsid w:val="14FC21E4"/>
    <w:rsid w:val="15237771"/>
    <w:rsid w:val="153E4D06"/>
    <w:rsid w:val="15A703A2"/>
    <w:rsid w:val="15AC7766"/>
    <w:rsid w:val="15C8440E"/>
    <w:rsid w:val="1609105D"/>
    <w:rsid w:val="162E7404"/>
    <w:rsid w:val="164125A5"/>
    <w:rsid w:val="166817B1"/>
    <w:rsid w:val="168801D3"/>
    <w:rsid w:val="16AB3022"/>
    <w:rsid w:val="16BE59A3"/>
    <w:rsid w:val="16DE6045"/>
    <w:rsid w:val="17084E70"/>
    <w:rsid w:val="1726179A"/>
    <w:rsid w:val="17367C2F"/>
    <w:rsid w:val="17996410"/>
    <w:rsid w:val="17C84600"/>
    <w:rsid w:val="17D925E9"/>
    <w:rsid w:val="17DD454F"/>
    <w:rsid w:val="17EA27C8"/>
    <w:rsid w:val="180A4C18"/>
    <w:rsid w:val="18414ADE"/>
    <w:rsid w:val="189F35B2"/>
    <w:rsid w:val="18BF3C55"/>
    <w:rsid w:val="18FC0A05"/>
    <w:rsid w:val="19232435"/>
    <w:rsid w:val="193A152D"/>
    <w:rsid w:val="19467ED2"/>
    <w:rsid w:val="196640D0"/>
    <w:rsid w:val="19AC7DD1"/>
    <w:rsid w:val="19BC1F42"/>
    <w:rsid w:val="19D52784"/>
    <w:rsid w:val="1A3D7527"/>
    <w:rsid w:val="1A4E5290"/>
    <w:rsid w:val="1AB01AA7"/>
    <w:rsid w:val="1ADC0AEE"/>
    <w:rsid w:val="1B3F2E2B"/>
    <w:rsid w:val="1BB235FD"/>
    <w:rsid w:val="1BD865BF"/>
    <w:rsid w:val="1C64402C"/>
    <w:rsid w:val="1C7933F5"/>
    <w:rsid w:val="1C7F5BD5"/>
    <w:rsid w:val="1C8C20A0"/>
    <w:rsid w:val="1CB05D8E"/>
    <w:rsid w:val="1CB5632E"/>
    <w:rsid w:val="1CBD494F"/>
    <w:rsid w:val="1CD81789"/>
    <w:rsid w:val="1CEB6DC6"/>
    <w:rsid w:val="1CF3211F"/>
    <w:rsid w:val="1D1A3B4F"/>
    <w:rsid w:val="1D94745E"/>
    <w:rsid w:val="1D9E208B"/>
    <w:rsid w:val="1DCF0496"/>
    <w:rsid w:val="1DD7559C"/>
    <w:rsid w:val="1DEB1048"/>
    <w:rsid w:val="1F2E5690"/>
    <w:rsid w:val="1F417171"/>
    <w:rsid w:val="1F7312F5"/>
    <w:rsid w:val="1F775289"/>
    <w:rsid w:val="1F841754"/>
    <w:rsid w:val="1FB57B5F"/>
    <w:rsid w:val="1FFE32B4"/>
    <w:rsid w:val="20052895"/>
    <w:rsid w:val="20124FB2"/>
    <w:rsid w:val="20126D60"/>
    <w:rsid w:val="2020147D"/>
    <w:rsid w:val="20232D1B"/>
    <w:rsid w:val="202820DF"/>
    <w:rsid w:val="20564E9E"/>
    <w:rsid w:val="20853119"/>
    <w:rsid w:val="2091237A"/>
    <w:rsid w:val="20BD4F1E"/>
    <w:rsid w:val="20DA787E"/>
    <w:rsid w:val="21026DD4"/>
    <w:rsid w:val="210448FA"/>
    <w:rsid w:val="21050673"/>
    <w:rsid w:val="215A276C"/>
    <w:rsid w:val="219E4D4F"/>
    <w:rsid w:val="21C916A0"/>
    <w:rsid w:val="222F5124"/>
    <w:rsid w:val="224A0A33"/>
    <w:rsid w:val="233F1C1A"/>
    <w:rsid w:val="2398757C"/>
    <w:rsid w:val="23AC3027"/>
    <w:rsid w:val="23DC5C6B"/>
    <w:rsid w:val="23DF33FD"/>
    <w:rsid w:val="23F01166"/>
    <w:rsid w:val="23FA02B0"/>
    <w:rsid w:val="24204F80"/>
    <w:rsid w:val="242B6642"/>
    <w:rsid w:val="245F12E5"/>
    <w:rsid w:val="24741D97"/>
    <w:rsid w:val="24B403E6"/>
    <w:rsid w:val="250110FD"/>
    <w:rsid w:val="259D0E7A"/>
    <w:rsid w:val="25FC4987"/>
    <w:rsid w:val="26086C3B"/>
    <w:rsid w:val="26393298"/>
    <w:rsid w:val="263A491A"/>
    <w:rsid w:val="263E440B"/>
    <w:rsid w:val="26804A23"/>
    <w:rsid w:val="26BB5A5B"/>
    <w:rsid w:val="26C31CF7"/>
    <w:rsid w:val="26DD358D"/>
    <w:rsid w:val="27475C6C"/>
    <w:rsid w:val="27840543"/>
    <w:rsid w:val="27EB05C2"/>
    <w:rsid w:val="28551EE0"/>
    <w:rsid w:val="286D7229"/>
    <w:rsid w:val="288172A7"/>
    <w:rsid w:val="28CA68B9"/>
    <w:rsid w:val="290731DA"/>
    <w:rsid w:val="292C2C40"/>
    <w:rsid w:val="29324CA0"/>
    <w:rsid w:val="294361DC"/>
    <w:rsid w:val="296A5517"/>
    <w:rsid w:val="29AF73CD"/>
    <w:rsid w:val="29D55C79"/>
    <w:rsid w:val="29E259F5"/>
    <w:rsid w:val="2A2B2EF8"/>
    <w:rsid w:val="2A6B1546"/>
    <w:rsid w:val="2AAA6513"/>
    <w:rsid w:val="2AC670C5"/>
    <w:rsid w:val="2AFA0B1C"/>
    <w:rsid w:val="2B726905"/>
    <w:rsid w:val="2C0C6D59"/>
    <w:rsid w:val="2C5D1363"/>
    <w:rsid w:val="2C673F8F"/>
    <w:rsid w:val="2CA156F3"/>
    <w:rsid w:val="2CD258AD"/>
    <w:rsid w:val="2CE33F5E"/>
    <w:rsid w:val="2D031F0A"/>
    <w:rsid w:val="2E425882"/>
    <w:rsid w:val="2E6B420B"/>
    <w:rsid w:val="2E6E5AA9"/>
    <w:rsid w:val="2E9B6172"/>
    <w:rsid w:val="2EC27BA3"/>
    <w:rsid w:val="2EC67693"/>
    <w:rsid w:val="2EE30245"/>
    <w:rsid w:val="2F104DB2"/>
    <w:rsid w:val="2F1877C3"/>
    <w:rsid w:val="2F462582"/>
    <w:rsid w:val="2F5C1DA5"/>
    <w:rsid w:val="2F9652B7"/>
    <w:rsid w:val="2FA33530"/>
    <w:rsid w:val="2FED29FE"/>
    <w:rsid w:val="300C37CC"/>
    <w:rsid w:val="300C557A"/>
    <w:rsid w:val="301937F3"/>
    <w:rsid w:val="3025488D"/>
    <w:rsid w:val="303E14AB"/>
    <w:rsid w:val="30420F9B"/>
    <w:rsid w:val="308275EA"/>
    <w:rsid w:val="30D50061"/>
    <w:rsid w:val="30F2476F"/>
    <w:rsid w:val="318A49A8"/>
    <w:rsid w:val="31C12394"/>
    <w:rsid w:val="323B5CA2"/>
    <w:rsid w:val="327B0795"/>
    <w:rsid w:val="327F2033"/>
    <w:rsid w:val="328A7949"/>
    <w:rsid w:val="32B37D44"/>
    <w:rsid w:val="32D03532"/>
    <w:rsid w:val="32FF4F22"/>
    <w:rsid w:val="334D0383"/>
    <w:rsid w:val="33B5651A"/>
    <w:rsid w:val="33D15C38"/>
    <w:rsid w:val="342B6B36"/>
    <w:rsid w:val="342C7F98"/>
    <w:rsid w:val="346E6803"/>
    <w:rsid w:val="34A22009"/>
    <w:rsid w:val="34E70363"/>
    <w:rsid w:val="3538471B"/>
    <w:rsid w:val="355A28E3"/>
    <w:rsid w:val="35B05CE1"/>
    <w:rsid w:val="35F04FF6"/>
    <w:rsid w:val="362058DB"/>
    <w:rsid w:val="3643781B"/>
    <w:rsid w:val="367774C5"/>
    <w:rsid w:val="36B85B13"/>
    <w:rsid w:val="36DB3EF8"/>
    <w:rsid w:val="36F17277"/>
    <w:rsid w:val="37270EEB"/>
    <w:rsid w:val="375A12C0"/>
    <w:rsid w:val="379A16BD"/>
    <w:rsid w:val="37B95FE7"/>
    <w:rsid w:val="37C52BDE"/>
    <w:rsid w:val="37D02827"/>
    <w:rsid w:val="37D050DF"/>
    <w:rsid w:val="38390ED6"/>
    <w:rsid w:val="386D5023"/>
    <w:rsid w:val="38CC3AF8"/>
    <w:rsid w:val="39180AEB"/>
    <w:rsid w:val="393F251C"/>
    <w:rsid w:val="39557F91"/>
    <w:rsid w:val="39D864CC"/>
    <w:rsid w:val="39DC5FBD"/>
    <w:rsid w:val="39DE7F87"/>
    <w:rsid w:val="39E66E3B"/>
    <w:rsid w:val="3A184B1B"/>
    <w:rsid w:val="3A663AD8"/>
    <w:rsid w:val="3A6D30B9"/>
    <w:rsid w:val="3A7230EC"/>
    <w:rsid w:val="3A8A3C6B"/>
    <w:rsid w:val="3ADB0022"/>
    <w:rsid w:val="3AF4694A"/>
    <w:rsid w:val="3B3B4F65"/>
    <w:rsid w:val="3B3E6803"/>
    <w:rsid w:val="3B5A363D"/>
    <w:rsid w:val="3B9A612F"/>
    <w:rsid w:val="3BC142E9"/>
    <w:rsid w:val="3BD7566A"/>
    <w:rsid w:val="3BF770DE"/>
    <w:rsid w:val="3C0161AE"/>
    <w:rsid w:val="3C06564A"/>
    <w:rsid w:val="3C277297"/>
    <w:rsid w:val="3C3E4D0D"/>
    <w:rsid w:val="3C6605CE"/>
    <w:rsid w:val="3C8841DA"/>
    <w:rsid w:val="3CE27DA1"/>
    <w:rsid w:val="3D033860"/>
    <w:rsid w:val="3D4B4E09"/>
    <w:rsid w:val="3D5F13DF"/>
    <w:rsid w:val="3E0B0C1F"/>
    <w:rsid w:val="3E4B1DFA"/>
    <w:rsid w:val="3E5E3444"/>
    <w:rsid w:val="3E6B3DB3"/>
    <w:rsid w:val="3F1F701B"/>
    <w:rsid w:val="3FBD23EC"/>
    <w:rsid w:val="3FC76DC7"/>
    <w:rsid w:val="3FD37E62"/>
    <w:rsid w:val="3FEB09B7"/>
    <w:rsid w:val="40153FD6"/>
    <w:rsid w:val="401F09B1"/>
    <w:rsid w:val="40302BBE"/>
    <w:rsid w:val="404C551E"/>
    <w:rsid w:val="405204BF"/>
    <w:rsid w:val="4054703C"/>
    <w:rsid w:val="406D5BC1"/>
    <w:rsid w:val="408178BE"/>
    <w:rsid w:val="409F7D44"/>
    <w:rsid w:val="40B76E3C"/>
    <w:rsid w:val="41076015"/>
    <w:rsid w:val="4110479E"/>
    <w:rsid w:val="415154E2"/>
    <w:rsid w:val="41517290"/>
    <w:rsid w:val="41D35EF7"/>
    <w:rsid w:val="41E77BF5"/>
    <w:rsid w:val="41FA7928"/>
    <w:rsid w:val="421B33FA"/>
    <w:rsid w:val="423F17DF"/>
    <w:rsid w:val="42411939"/>
    <w:rsid w:val="42982C9D"/>
    <w:rsid w:val="43146CD4"/>
    <w:rsid w:val="43462E94"/>
    <w:rsid w:val="43714522"/>
    <w:rsid w:val="439711A6"/>
    <w:rsid w:val="43B27D8E"/>
    <w:rsid w:val="43B50336"/>
    <w:rsid w:val="43B6787E"/>
    <w:rsid w:val="43C31F9B"/>
    <w:rsid w:val="44024872"/>
    <w:rsid w:val="443D1D4E"/>
    <w:rsid w:val="444430DC"/>
    <w:rsid w:val="45085EB8"/>
    <w:rsid w:val="4554734F"/>
    <w:rsid w:val="45692A85"/>
    <w:rsid w:val="45800144"/>
    <w:rsid w:val="45ED50AE"/>
    <w:rsid w:val="46043AAF"/>
    <w:rsid w:val="46647A66"/>
    <w:rsid w:val="46780E1B"/>
    <w:rsid w:val="46AC4F69"/>
    <w:rsid w:val="46FC4D11"/>
    <w:rsid w:val="47A45C40"/>
    <w:rsid w:val="47D06A35"/>
    <w:rsid w:val="47D77DC3"/>
    <w:rsid w:val="47E14CCD"/>
    <w:rsid w:val="47F646ED"/>
    <w:rsid w:val="48013E81"/>
    <w:rsid w:val="484A2C8B"/>
    <w:rsid w:val="48CC011E"/>
    <w:rsid w:val="48F650FE"/>
    <w:rsid w:val="49061C83"/>
    <w:rsid w:val="499E503D"/>
    <w:rsid w:val="49DC5B65"/>
    <w:rsid w:val="49EF714E"/>
    <w:rsid w:val="49F66C27"/>
    <w:rsid w:val="4A5308FE"/>
    <w:rsid w:val="4AB32D6A"/>
    <w:rsid w:val="4B0B04B0"/>
    <w:rsid w:val="4B0B6702"/>
    <w:rsid w:val="4C83051A"/>
    <w:rsid w:val="4CAF130F"/>
    <w:rsid w:val="4CE52F83"/>
    <w:rsid w:val="4CFB09F8"/>
    <w:rsid w:val="4D063625"/>
    <w:rsid w:val="4D186EB4"/>
    <w:rsid w:val="4D693BB4"/>
    <w:rsid w:val="4D981DA3"/>
    <w:rsid w:val="4DEE5E67"/>
    <w:rsid w:val="4E0B6A19"/>
    <w:rsid w:val="4E2B0E69"/>
    <w:rsid w:val="4E710F72"/>
    <w:rsid w:val="4E810A89"/>
    <w:rsid w:val="4EB42C0C"/>
    <w:rsid w:val="4ED41501"/>
    <w:rsid w:val="4EEA4880"/>
    <w:rsid w:val="4EFE20DA"/>
    <w:rsid w:val="4F42646A"/>
    <w:rsid w:val="4FCB6460"/>
    <w:rsid w:val="50302767"/>
    <w:rsid w:val="506F7733"/>
    <w:rsid w:val="50757EB0"/>
    <w:rsid w:val="50E62715"/>
    <w:rsid w:val="50F96FFC"/>
    <w:rsid w:val="5100482F"/>
    <w:rsid w:val="511B51C5"/>
    <w:rsid w:val="511E4CB5"/>
    <w:rsid w:val="513F7105"/>
    <w:rsid w:val="514209A3"/>
    <w:rsid w:val="517118A1"/>
    <w:rsid w:val="519F7BA4"/>
    <w:rsid w:val="51EE0B2B"/>
    <w:rsid w:val="51F6353C"/>
    <w:rsid w:val="5268342A"/>
    <w:rsid w:val="528172AA"/>
    <w:rsid w:val="528374C6"/>
    <w:rsid w:val="529C0587"/>
    <w:rsid w:val="52B07B8F"/>
    <w:rsid w:val="52BD67C2"/>
    <w:rsid w:val="52DB4C0C"/>
    <w:rsid w:val="52EF6909"/>
    <w:rsid w:val="53177C0E"/>
    <w:rsid w:val="5371731E"/>
    <w:rsid w:val="537D5CC3"/>
    <w:rsid w:val="538C05FC"/>
    <w:rsid w:val="53CE651E"/>
    <w:rsid w:val="54161C73"/>
    <w:rsid w:val="54273E81"/>
    <w:rsid w:val="543C5B7E"/>
    <w:rsid w:val="54554E92"/>
    <w:rsid w:val="54660E4D"/>
    <w:rsid w:val="547075D6"/>
    <w:rsid w:val="548E3F00"/>
    <w:rsid w:val="54E57FC4"/>
    <w:rsid w:val="54FE1085"/>
    <w:rsid w:val="55226C7B"/>
    <w:rsid w:val="55592760"/>
    <w:rsid w:val="5560764A"/>
    <w:rsid w:val="55621614"/>
    <w:rsid w:val="558E2409"/>
    <w:rsid w:val="55E71B19"/>
    <w:rsid w:val="55EB160A"/>
    <w:rsid w:val="56150435"/>
    <w:rsid w:val="56281119"/>
    <w:rsid w:val="562E14F6"/>
    <w:rsid w:val="56705FB3"/>
    <w:rsid w:val="56B04864"/>
    <w:rsid w:val="570D1A54"/>
    <w:rsid w:val="57234DD3"/>
    <w:rsid w:val="575B456D"/>
    <w:rsid w:val="575E5E0B"/>
    <w:rsid w:val="576F760A"/>
    <w:rsid w:val="57803FD4"/>
    <w:rsid w:val="57811AFA"/>
    <w:rsid w:val="57DE6F4C"/>
    <w:rsid w:val="58405511"/>
    <w:rsid w:val="58443253"/>
    <w:rsid w:val="584A50B0"/>
    <w:rsid w:val="58B8779D"/>
    <w:rsid w:val="58CD3249"/>
    <w:rsid w:val="59232E69"/>
    <w:rsid w:val="59547B16"/>
    <w:rsid w:val="59E56370"/>
    <w:rsid w:val="5A0013FC"/>
    <w:rsid w:val="5A0031AA"/>
    <w:rsid w:val="5A721C51"/>
    <w:rsid w:val="5AA343C5"/>
    <w:rsid w:val="5B2B4256"/>
    <w:rsid w:val="5B490B80"/>
    <w:rsid w:val="5B6836FC"/>
    <w:rsid w:val="5B694D7F"/>
    <w:rsid w:val="5C0351D3"/>
    <w:rsid w:val="5C0A24CA"/>
    <w:rsid w:val="5C5D48E3"/>
    <w:rsid w:val="5C854316"/>
    <w:rsid w:val="5CB36BF9"/>
    <w:rsid w:val="5CDC7EFE"/>
    <w:rsid w:val="5D094A6B"/>
    <w:rsid w:val="5D7A14C5"/>
    <w:rsid w:val="5D880594"/>
    <w:rsid w:val="5DA84284"/>
    <w:rsid w:val="5DB648FD"/>
    <w:rsid w:val="5DFC1EDA"/>
    <w:rsid w:val="5E0314BA"/>
    <w:rsid w:val="5E744166"/>
    <w:rsid w:val="5E84084D"/>
    <w:rsid w:val="5EE17A4E"/>
    <w:rsid w:val="5F230066"/>
    <w:rsid w:val="5F2C67EF"/>
    <w:rsid w:val="5F7C05C5"/>
    <w:rsid w:val="5FB962D5"/>
    <w:rsid w:val="5FED2422"/>
    <w:rsid w:val="60C5514D"/>
    <w:rsid w:val="60D96503"/>
    <w:rsid w:val="60FF065F"/>
    <w:rsid w:val="61073070"/>
    <w:rsid w:val="61181721"/>
    <w:rsid w:val="61493688"/>
    <w:rsid w:val="6151253D"/>
    <w:rsid w:val="61573FF7"/>
    <w:rsid w:val="617C3A5E"/>
    <w:rsid w:val="61BA4586"/>
    <w:rsid w:val="61C13B66"/>
    <w:rsid w:val="61F07FA8"/>
    <w:rsid w:val="620D6DAC"/>
    <w:rsid w:val="624C78D4"/>
    <w:rsid w:val="6252656D"/>
    <w:rsid w:val="625B3673"/>
    <w:rsid w:val="62775FD3"/>
    <w:rsid w:val="62A96AD4"/>
    <w:rsid w:val="62E33669"/>
    <w:rsid w:val="62FA7330"/>
    <w:rsid w:val="633839B4"/>
    <w:rsid w:val="63433F66"/>
    <w:rsid w:val="634A36E8"/>
    <w:rsid w:val="63901A42"/>
    <w:rsid w:val="63A4729C"/>
    <w:rsid w:val="63A92B04"/>
    <w:rsid w:val="63AA0FB2"/>
    <w:rsid w:val="63D530FA"/>
    <w:rsid w:val="63F7561D"/>
    <w:rsid w:val="63FC70D8"/>
    <w:rsid w:val="641F7E21"/>
    <w:rsid w:val="647201A1"/>
    <w:rsid w:val="64923598"/>
    <w:rsid w:val="64D0120A"/>
    <w:rsid w:val="65143FAD"/>
    <w:rsid w:val="65382418"/>
    <w:rsid w:val="65FB265A"/>
    <w:rsid w:val="66344907"/>
    <w:rsid w:val="66410DD2"/>
    <w:rsid w:val="664D5E2E"/>
    <w:rsid w:val="6659436D"/>
    <w:rsid w:val="666F1757"/>
    <w:rsid w:val="668773A2"/>
    <w:rsid w:val="66A31A8D"/>
    <w:rsid w:val="66AF0431"/>
    <w:rsid w:val="66CA0DC7"/>
    <w:rsid w:val="66D103A8"/>
    <w:rsid w:val="66D25ECE"/>
    <w:rsid w:val="66E53E53"/>
    <w:rsid w:val="67A23AF2"/>
    <w:rsid w:val="67A94E81"/>
    <w:rsid w:val="67C9107F"/>
    <w:rsid w:val="67D11A4E"/>
    <w:rsid w:val="68394457"/>
    <w:rsid w:val="688A17C5"/>
    <w:rsid w:val="68FE11FC"/>
    <w:rsid w:val="690F6F65"/>
    <w:rsid w:val="69126A56"/>
    <w:rsid w:val="69801C11"/>
    <w:rsid w:val="69913E1E"/>
    <w:rsid w:val="6A040A94"/>
    <w:rsid w:val="6A4946F9"/>
    <w:rsid w:val="6A5D01A4"/>
    <w:rsid w:val="6A7A0D56"/>
    <w:rsid w:val="6A837C0B"/>
    <w:rsid w:val="6A9736B6"/>
    <w:rsid w:val="6AAF0A00"/>
    <w:rsid w:val="6AEB3A02"/>
    <w:rsid w:val="6AEF52A0"/>
    <w:rsid w:val="6B0625EA"/>
    <w:rsid w:val="6B20545A"/>
    <w:rsid w:val="6B2D7B77"/>
    <w:rsid w:val="6B315A3D"/>
    <w:rsid w:val="6B476E8A"/>
    <w:rsid w:val="6B513865"/>
    <w:rsid w:val="6BE648F5"/>
    <w:rsid w:val="6BFD7803"/>
    <w:rsid w:val="6C06756A"/>
    <w:rsid w:val="6C0B435C"/>
    <w:rsid w:val="6C553829"/>
    <w:rsid w:val="6C991968"/>
    <w:rsid w:val="6C9E5990"/>
    <w:rsid w:val="6CA6670F"/>
    <w:rsid w:val="6CAF118B"/>
    <w:rsid w:val="6CC62828"/>
    <w:rsid w:val="6D486EEA"/>
    <w:rsid w:val="6D5835D1"/>
    <w:rsid w:val="6D82064E"/>
    <w:rsid w:val="6DAC56CB"/>
    <w:rsid w:val="6DD4077E"/>
    <w:rsid w:val="6DF130DE"/>
    <w:rsid w:val="6E7A1325"/>
    <w:rsid w:val="6EA14B04"/>
    <w:rsid w:val="6EEE586F"/>
    <w:rsid w:val="6EF47329"/>
    <w:rsid w:val="6EFF7A7C"/>
    <w:rsid w:val="6F2B0871"/>
    <w:rsid w:val="6F5E0C47"/>
    <w:rsid w:val="6FCA1E38"/>
    <w:rsid w:val="6FF15617"/>
    <w:rsid w:val="70476D35"/>
    <w:rsid w:val="711F61B4"/>
    <w:rsid w:val="71233EF6"/>
    <w:rsid w:val="716F713B"/>
    <w:rsid w:val="72281098"/>
    <w:rsid w:val="723C4228"/>
    <w:rsid w:val="724C393A"/>
    <w:rsid w:val="725D3437"/>
    <w:rsid w:val="726B5B54"/>
    <w:rsid w:val="72964253"/>
    <w:rsid w:val="72AE701B"/>
    <w:rsid w:val="72B56DCF"/>
    <w:rsid w:val="72DA05E4"/>
    <w:rsid w:val="72E70F53"/>
    <w:rsid w:val="72F1592E"/>
    <w:rsid w:val="73822546"/>
    <w:rsid w:val="73893DB8"/>
    <w:rsid w:val="73A155A6"/>
    <w:rsid w:val="73E356FC"/>
    <w:rsid w:val="73E40234"/>
    <w:rsid w:val="73EB6821"/>
    <w:rsid w:val="73FF5520"/>
    <w:rsid w:val="741E6032"/>
    <w:rsid w:val="741E6BF6"/>
    <w:rsid w:val="74227208"/>
    <w:rsid w:val="74406B6D"/>
    <w:rsid w:val="74534AF2"/>
    <w:rsid w:val="746005C0"/>
    <w:rsid w:val="74A569D0"/>
    <w:rsid w:val="74B11819"/>
    <w:rsid w:val="74E2242F"/>
    <w:rsid w:val="74E65996"/>
    <w:rsid w:val="74EE65C9"/>
    <w:rsid w:val="750951B1"/>
    <w:rsid w:val="751D0C5C"/>
    <w:rsid w:val="752B5127"/>
    <w:rsid w:val="75510906"/>
    <w:rsid w:val="75654BD9"/>
    <w:rsid w:val="758E56B6"/>
    <w:rsid w:val="759E3B4B"/>
    <w:rsid w:val="75E4177A"/>
    <w:rsid w:val="75F145C2"/>
    <w:rsid w:val="761C7166"/>
    <w:rsid w:val="76360227"/>
    <w:rsid w:val="7642733C"/>
    <w:rsid w:val="766A6123"/>
    <w:rsid w:val="767E397C"/>
    <w:rsid w:val="768E1E11"/>
    <w:rsid w:val="76B031E0"/>
    <w:rsid w:val="770E2F52"/>
    <w:rsid w:val="771A3308"/>
    <w:rsid w:val="774802BD"/>
    <w:rsid w:val="77672662"/>
    <w:rsid w:val="778B00FF"/>
    <w:rsid w:val="77A411C1"/>
    <w:rsid w:val="77B5517C"/>
    <w:rsid w:val="77E51F05"/>
    <w:rsid w:val="77EB5041"/>
    <w:rsid w:val="77F739E6"/>
    <w:rsid w:val="784C798E"/>
    <w:rsid w:val="78690DE6"/>
    <w:rsid w:val="7883527A"/>
    <w:rsid w:val="78852DA0"/>
    <w:rsid w:val="78961451"/>
    <w:rsid w:val="789C633C"/>
    <w:rsid w:val="78B56D31"/>
    <w:rsid w:val="78BC253A"/>
    <w:rsid w:val="790A599B"/>
    <w:rsid w:val="79556C16"/>
    <w:rsid w:val="795A5FDB"/>
    <w:rsid w:val="79870D9A"/>
    <w:rsid w:val="7A8377B3"/>
    <w:rsid w:val="7AA03EC1"/>
    <w:rsid w:val="7AC2652D"/>
    <w:rsid w:val="7AEF309B"/>
    <w:rsid w:val="7B292109"/>
    <w:rsid w:val="7B2E453D"/>
    <w:rsid w:val="7B407452"/>
    <w:rsid w:val="7B6A2721"/>
    <w:rsid w:val="7BD227A0"/>
    <w:rsid w:val="7BEE3352"/>
    <w:rsid w:val="7C036DFE"/>
    <w:rsid w:val="7C417926"/>
    <w:rsid w:val="7C440929"/>
    <w:rsid w:val="7C47503C"/>
    <w:rsid w:val="7C5B09E8"/>
    <w:rsid w:val="7C975798"/>
    <w:rsid w:val="7CA0289E"/>
    <w:rsid w:val="7CAD4FBB"/>
    <w:rsid w:val="7CD460A4"/>
    <w:rsid w:val="7CDA3A4F"/>
    <w:rsid w:val="7CE53EAD"/>
    <w:rsid w:val="7D2C4132"/>
    <w:rsid w:val="7D3905FD"/>
    <w:rsid w:val="7D5947FB"/>
    <w:rsid w:val="7D823D52"/>
    <w:rsid w:val="7D875F78"/>
    <w:rsid w:val="7DB52379"/>
    <w:rsid w:val="7DBA7990"/>
    <w:rsid w:val="7E103DD1"/>
    <w:rsid w:val="7E5C0A47"/>
    <w:rsid w:val="7E61605D"/>
    <w:rsid w:val="7E81225C"/>
    <w:rsid w:val="7E8273B2"/>
    <w:rsid w:val="7EAA17B2"/>
    <w:rsid w:val="7EAD3051"/>
    <w:rsid w:val="7F121106"/>
    <w:rsid w:val="7F1A5AAF"/>
    <w:rsid w:val="7F533BF8"/>
    <w:rsid w:val="7F967F89"/>
    <w:rsid w:val="7F9D30C5"/>
    <w:rsid w:val="7F9D4E73"/>
    <w:rsid w:val="7FC52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2021-11-26T02:31:00Z</dcterms:created>
  <dc:creator>lo.a25</dc:creator>
  <cp:lastModifiedBy>Administrator</cp:lastModifiedBy>
  <dcterms:modified xsi:type="dcterms:W3CDTF">2021-12-07T07:31:15Z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895B536FAAC2454DA96794DD80CFEA4F</vt:lpwstr>
  </property>
</Properties>
</file>