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郧环函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号</w:t>
      </w:r>
    </w:p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0" w:lineRule="exact"/>
        <w:ind w:firstLine="6144" w:firstLineChars="1700"/>
        <w:jc w:val="right"/>
        <w:textAlignment w:val="auto"/>
        <w:rPr>
          <w:rFonts w:hint="eastAsia" w:hAnsi="仿宋" w:eastAsia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十堰裕籽贵食用油有限公司植物油加工项目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环境影响报告表的批复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十堰裕籽贵食用油有限公司</w:t>
      </w:r>
      <w:r>
        <w:rPr>
          <w:rFonts w:hint="eastAsia" w:ascii="仿宋_GB2312" w:hAnsi="仿宋_GB2312" w:eastAsia="仿宋_GB2312" w:cs="仿宋_GB231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你公司报送的《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植物油加工项目</w:t>
      </w:r>
      <w:r>
        <w:rPr>
          <w:rFonts w:hint="eastAsia" w:ascii="仿宋_GB2312" w:hAnsi="仿宋_GB2312" w:eastAsia="仿宋_GB2312" w:cs="仿宋_GB2312"/>
          <w:szCs w:val="32"/>
        </w:rPr>
        <w:t>环境影响报告表》（以下简称《报告表》）收悉。经研究，现批复如下：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项目位于十堰市郧阳区鲍峡镇小花果村三组44号，占地面积1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，建设内容主要包括：生产车间、仓库等辅助措施。建成后年产核桃油300吨、茶油300吨、芝麻油300吨、花生油8000吨。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投资1000万元，其中环保投资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二、《报告表》评价结论认为，在全面落实《报告表》提出的各项污染防治措施前提下，该项目产生的污染影响能够得到有效控制，从环境保护的角度，项目建设可行。经审查，我局同意《报告表》评价结论。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三、项目建设和运营过程应认真落实《报告表》提出的各项环境保护对策措施，重点做好以下工作：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生活污水进入化粪池预处理，达到《农田灌溉水质标准》（GB5084-2021）旱作物类标准后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用于浇灌周围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项目物理脱酸、脱臭废气经“集气罩+碱喷淋塔”处理后通过15米高排气筒排放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，有组织排放臭气浓度须达到《恶臭污染物排放标准》（GB14554-93）表2标准值要求,</w:t>
      </w:r>
      <w:r>
        <w:rPr>
          <w:rFonts w:hint="eastAsia" w:ascii="仿宋_GB2312" w:hAnsi="仿宋_GB2312" w:eastAsia="仿宋_GB2312" w:cs="仿宋_GB2312"/>
          <w:sz w:val="32"/>
          <w:szCs w:val="32"/>
        </w:rPr>
        <w:t>无组织排放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臭气浓度</w:t>
      </w:r>
      <w:r>
        <w:rPr>
          <w:rFonts w:hint="eastAsia" w:ascii="仿宋_GB2312" w:hAnsi="仿宋_GB2312" w:eastAsia="仿宋_GB2312" w:cs="仿宋_GB2312"/>
          <w:sz w:val="32"/>
          <w:szCs w:val="32"/>
        </w:rPr>
        <w:t>须达到《恶臭污染物排放标准》（GB14554-93）表1界标准限值要求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；有组织排放非甲烷总烃须达到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《大气污染物综合排放标准》（GB16297-1996）表2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二级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标准限值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,无组织排放非甲烷总烃须达到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《大气污染物综合排放标准》（GB16297-1996）表2相应标准限值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（三</w:t>
      </w:r>
      <w:r>
        <w:rPr>
          <w:rFonts w:hint="eastAsia" w:ascii="仿宋_GB2312" w:hAnsi="仿宋_GB2312" w:eastAsia="仿宋_GB2312" w:cs="仿宋_GB231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选用低噪声设备，采取有效减振、隔声等降噪措施。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厂界噪声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《工业企业厂界环境噪声排放标准》（GB12348-2008）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标准限值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（四）</w:t>
      </w:r>
      <w:r>
        <w:rPr>
          <w:rFonts w:hint="eastAsia" w:ascii="仿宋_GB2312" w:hAnsi="仿宋_GB2312" w:eastAsia="仿宋_GB2312" w:cs="仿宋_GB2312"/>
          <w:szCs w:val="32"/>
        </w:rPr>
        <w:t>各类固体废物应分类收集，按有关规定要求分类收集并妥善处理。危险废物暂存场所应符合《危险废物贮存污染控制标准》（GB18597-2001）及其修改单要求。危险废物应委托有资质单位收集处置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四、</w:t>
      </w:r>
      <w:r>
        <w:rPr>
          <w:rFonts w:hint="eastAsia" w:ascii="仿宋_GB2312" w:hAnsi="仿宋_GB2312" w:eastAsia="仿宋_GB2312" w:cs="仿宋_GB2312"/>
          <w:szCs w:val="32"/>
        </w:rPr>
        <w:t>项目实施后，主要污染物年排放总量控制指标核定为：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</w:rPr>
        <w:t>挥发性有机物（以非甲烷总烃计）0.08吨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五、项目建设应严格执行配套建设的环保设施与主体工程同时设计、同时施工、同时投产使用的环保“三同时”制度。你单位应当按照环境信息公开有关规定，主动公开建设项目环境信息，接受社会监督。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项目建成后，你单位应当按照竣工环境保护验收的有关规定，对</w:t>
      </w:r>
      <w:r>
        <w:rPr>
          <w:rFonts w:hint="eastAsia" w:ascii="仿宋_GB2312" w:hAnsi="仿宋_GB2312" w:eastAsia="仿宋_GB2312" w:cs="仿宋_GB2312"/>
          <w:szCs w:val="32"/>
        </w:rPr>
        <w:t>配套建设的环境保护设施进行验收。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六、按照</w:t>
      </w:r>
      <w:r>
        <w:rPr>
          <w:rFonts w:hint="eastAsia" w:ascii="仿宋_GB2312" w:hAnsi="仿宋_GB2312" w:eastAsia="仿宋_GB2312" w:cs="仿宋_GB2312"/>
          <w:spacing w:val="-16"/>
          <w:szCs w:val="32"/>
        </w:rPr>
        <w:t>排污许可管理有关规定，纳入排污许可管理的单位，应当在启动生产设施或者在实际排污之前申请或变更排污许可证。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七、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郧阳生态环境保护综合执法大队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负责该项目事中事后的环境保护监督管理工作。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10"/>
        </w:rPr>
      </w:pPr>
      <w:r>
        <w:rPr>
          <w:rFonts w:hint="eastAsia" w:ascii="仿宋_GB2312" w:hAnsi="仿宋_GB2312" w:eastAsia="仿宋_GB2312" w:cs="仿宋_GB2312"/>
          <w:szCs w:val="32"/>
        </w:rPr>
        <w:t>八、</w:t>
      </w:r>
      <w:r>
        <w:rPr>
          <w:rFonts w:hint="eastAsia" w:ascii="仿宋_GB2312" w:hAnsi="仿宋_GB2312" w:eastAsia="仿宋_GB2312" w:cs="仿宋_GB2312"/>
          <w:color w:val="000000"/>
          <w:spacing w:val="-10"/>
        </w:rPr>
        <w:t>项目</w:t>
      </w:r>
      <w:r>
        <w:rPr>
          <w:rFonts w:hint="eastAsia" w:ascii="仿宋_GB2312" w:hAnsi="仿宋_GB2312" w:eastAsia="仿宋_GB2312" w:cs="仿宋_GB2312"/>
          <w:color w:val="000000"/>
          <w:spacing w:val="-10"/>
          <w:lang w:eastAsia="zh-CN"/>
        </w:rPr>
        <w:t>涉及产业政策、规划、土地</w:t>
      </w:r>
      <w:r>
        <w:rPr>
          <w:rFonts w:hint="eastAsia" w:ascii="仿宋_GB2312" w:hAnsi="仿宋_GB2312" w:eastAsia="仿宋_GB2312" w:cs="仿宋_GB2312"/>
          <w:color w:val="000000"/>
          <w:spacing w:val="-1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10"/>
          <w:lang w:eastAsia="zh-CN"/>
        </w:rPr>
        <w:t>安全、水利、质监、经信、消防、卫生</w:t>
      </w:r>
      <w:r>
        <w:rPr>
          <w:rFonts w:hint="eastAsia" w:ascii="仿宋_GB2312" w:hAnsi="仿宋_GB2312" w:eastAsia="仿宋_GB2312" w:cs="仿宋_GB2312"/>
          <w:color w:val="000000"/>
          <w:spacing w:val="-10"/>
        </w:rPr>
        <w:t>等</w:t>
      </w:r>
      <w:r>
        <w:rPr>
          <w:rFonts w:hint="eastAsia" w:ascii="仿宋_GB2312" w:hAnsi="仿宋_GB2312" w:eastAsia="仿宋_GB2312" w:cs="仿宋_GB2312"/>
          <w:color w:val="000000"/>
          <w:spacing w:val="-10"/>
          <w:lang w:eastAsia="zh-CN"/>
        </w:rPr>
        <w:t>方面的内容，以相应主管部门批复意见为准</w:t>
      </w:r>
      <w:r>
        <w:rPr>
          <w:rFonts w:hint="eastAsia" w:ascii="仿宋_GB2312" w:hAnsi="仿宋_GB2312" w:eastAsia="仿宋_GB2312" w:cs="仿宋_GB2312"/>
          <w:color w:val="000000"/>
          <w:spacing w:val="-1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九、项目建设过程中，建设内容、性质、规模、地点、采用的生产工艺或防治污染、防止生态破坏的措施发生重大变动的，应重新报批建设项目环评文件。自批复之日起超过五年方决定该项目开工建设的，按规定其批复文件应当报我局重新审核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十堰市生态环境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局郧阳分局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日</w:t>
      </w:r>
    </w:p>
    <w:sectPr>
      <w:headerReference r:id="rId3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OWI0YzA2YTA0YzI5NDEyN2M3MDBhZGM4YWI2NDNlY2EifQ=="/>
  </w:docVars>
  <w:rsids>
    <w:rsidRoot w:val="007B37AC"/>
    <w:rsid w:val="00020A5B"/>
    <w:rsid w:val="0007024D"/>
    <w:rsid w:val="000E7392"/>
    <w:rsid w:val="000F7F04"/>
    <w:rsid w:val="0010181A"/>
    <w:rsid w:val="0011468F"/>
    <w:rsid w:val="00126FB2"/>
    <w:rsid w:val="00146D43"/>
    <w:rsid w:val="001A2035"/>
    <w:rsid w:val="001B457C"/>
    <w:rsid w:val="001D19EE"/>
    <w:rsid w:val="001E3D22"/>
    <w:rsid w:val="001F3AA9"/>
    <w:rsid w:val="0021516A"/>
    <w:rsid w:val="00232F6B"/>
    <w:rsid w:val="00274FCC"/>
    <w:rsid w:val="002767D1"/>
    <w:rsid w:val="002A6F28"/>
    <w:rsid w:val="002F29AD"/>
    <w:rsid w:val="003B7CBE"/>
    <w:rsid w:val="004102F6"/>
    <w:rsid w:val="00450E4A"/>
    <w:rsid w:val="004563FA"/>
    <w:rsid w:val="0047517A"/>
    <w:rsid w:val="0048174C"/>
    <w:rsid w:val="004B5A59"/>
    <w:rsid w:val="004C0CA7"/>
    <w:rsid w:val="0050626F"/>
    <w:rsid w:val="00523B1F"/>
    <w:rsid w:val="0054174E"/>
    <w:rsid w:val="005F78BB"/>
    <w:rsid w:val="006447F1"/>
    <w:rsid w:val="00683D2F"/>
    <w:rsid w:val="00686709"/>
    <w:rsid w:val="006A5863"/>
    <w:rsid w:val="006B1E80"/>
    <w:rsid w:val="006C079A"/>
    <w:rsid w:val="0073035B"/>
    <w:rsid w:val="00776270"/>
    <w:rsid w:val="007A04D2"/>
    <w:rsid w:val="007A1208"/>
    <w:rsid w:val="007B0AD2"/>
    <w:rsid w:val="007B37AC"/>
    <w:rsid w:val="007F16E8"/>
    <w:rsid w:val="007F4CD8"/>
    <w:rsid w:val="00802167"/>
    <w:rsid w:val="008339BE"/>
    <w:rsid w:val="0084192A"/>
    <w:rsid w:val="00841B2F"/>
    <w:rsid w:val="008461E4"/>
    <w:rsid w:val="008924F7"/>
    <w:rsid w:val="008C0017"/>
    <w:rsid w:val="008E0D2D"/>
    <w:rsid w:val="008E6864"/>
    <w:rsid w:val="009017D7"/>
    <w:rsid w:val="00903C6A"/>
    <w:rsid w:val="00911EB7"/>
    <w:rsid w:val="009344AE"/>
    <w:rsid w:val="009443C2"/>
    <w:rsid w:val="00965130"/>
    <w:rsid w:val="0099368F"/>
    <w:rsid w:val="009A7529"/>
    <w:rsid w:val="009C4C70"/>
    <w:rsid w:val="009C504A"/>
    <w:rsid w:val="009E2333"/>
    <w:rsid w:val="009F05F7"/>
    <w:rsid w:val="009F1BFD"/>
    <w:rsid w:val="00A135B7"/>
    <w:rsid w:val="00A3048A"/>
    <w:rsid w:val="00A5675B"/>
    <w:rsid w:val="00AA16B6"/>
    <w:rsid w:val="00AB6FA0"/>
    <w:rsid w:val="00B679A0"/>
    <w:rsid w:val="00BA5980"/>
    <w:rsid w:val="00BF33E9"/>
    <w:rsid w:val="00C239CD"/>
    <w:rsid w:val="00E83748"/>
    <w:rsid w:val="00E86F40"/>
    <w:rsid w:val="00E91204"/>
    <w:rsid w:val="00E93FBD"/>
    <w:rsid w:val="00EC3926"/>
    <w:rsid w:val="00F0213E"/>
    <w:rsid w:val="00F143D9"/>
    <w:rsid w:val="00F7405A"/>
    <w:rsid w:val="00FA5F66"/>
    <w:rsid w:val="00FD09AE"/>
    <w:rsid w:val="015B627B"/>
    <w:rsid w:val="030F642B"/>
    <w:rsid w:val="032338E1"/>
    <w:rsid w:val="05CB3D07"/>
    <w:rsid w:val="06132A3A"/>
    <w:rsid w:val="067176A2"/>
    <w:rsid w:val="07C66D4C"/>
    <w:rsid w:val="08281159"/>
    <w:rsid w:val="085A5FF7"/>
    <w:rsid w:val="08E40C27"/>
    <w:rsid w:val="0B8E611C"/>
    <w:rsid w:val="0BDA25E7"/>
    <w:rsid w:val="0C582FFC"/>
    <w:rsid w:val="0DCB451B"/>
    <w:rsid w:val="0DE915F8"/>
    <w:rsid w:val="0EDC2EA3"/>
    <w:rsid w:val="0F271C6E"/>
    <w:rsid w:val="111B1BA6"/>
    <w:rsid w:val="11B14E8B"/>
    <w:rsid w:val="11B83320"/>
    <w:rsid w:val="12BF46E0"/>
    <w:rsid w:val="12E2506C"/>
    <w:rsid w:val="14AC40A7"/>
    <w:rsid w:val="17CC7551"/>
    <w:rsid w:val="19A92D05"/>
    <w:rsid w:val="1A0E6462"/>
    <w:rsid w:val="1AFC6A9A"/>
    <w:rsid w:val="1B913D82"/>
    <w:rsid w:val="1C4F0AFC"/>
    <w:rsid w:val="1CA43252"/>
    <w:rsid w:val="1E424E2C"/>
    <w:rsid w:val="1F3E1ED1"/>
    <w:rsid w:val="20CD48CA"/>
    <w:rsid w:val="21BA523D"/>
    <w:rsid w:val="234744F4"/>
    <w:rsid w:val="241E5CD3"/>
    <w:rsid w:val="248F740A"/>
    <w:rsid w:val="265A09CE"/>
    <w:rsid w:val="27AC211F"/>
    <w:rsid w:val="27E47925"/>
    <w:rsid w:val="2CDE06F5"/>
    <w:rsid w:val="2DE749D0"/>
    <w:rsid w:val="2E076B41"/>
    <w:rsid w:val="2E394642"/>
    <w:rsid w:val="2E582827"/>
    <w:rsid w:val="2FCA413B"/>
    <w:rsid w:val="303D581D"/>
    <w:rsid w:val="33403D23"/>
    <w:rsid w:val="34091587"/>
    <w:rsid w:val="351E1E80"/>
    <w:rsid w:val="37A15563"/>
    <w:rsid w:val="38874DF2"/>
    <w:rsid w:val="39E459C3"/>
    <w:rsid w:val="3A2A6D39"/>
    <w:rsid w:val="3AE75F25"/>
    <w:rsid w:val="3AF478F9"/>
    <w:rsid w:val="3B5B426F"/>
    <w:rsid w:val="3C896B93"/>
    <w:rsid w:val="3D6637AF"/>
    <w:rsid w:val="3D836F93"/>
    <w:rsid w:val="3DF23954"/>
    <w:rsid w:val="3EB12FEC"/>
    <w:rsid w:val="40B85A18"/>
    <w:rsid w:val="40FB020D"/>
    <w:rsid w:val="41C9758B"/>
    <w:rsid w:val="42F538C0"/>
    <w:rsid w:val="44F97E9B"/>
    <w:rsid w:val="460415D8"/>
    <w:rsid w:val="467A20E0"/>
    <w:rsid w:val="46D565FF"/>
    <w:rsid w:val="47002BA5"/>
    <w:rsid w:val="48C430F9"/>
    <w:rsid w:val="490E6F9C"/>
    <w:rsid w:val="49C52531"/>
    <w:rsid w:val="4A9B0D43"/>
    <w:rsid w:val="4ABD48F2"/>
    <w:rsid w:val="4AC42A7F"/>
    <w:rsid w:val="4BE66595"/>
    <w:rsid w:val="4BFF0D12"/>
    <w:rsid w:val="4C6911E1"/>
    <w:rsid w:val="4D16540F"/>
    <w:rsid w:val="4D3B0B88"/>
    <w:rsid w:val="4DE50ED1"/>
    <w:rsid w:val="4E2C76FE"/>
    <w:rsid w:val="4E6813A8"/>
    <w:rsid w:val="4F7F29B8"/>
    <w:rsid w:val="4FD13750"/>
    <w:rsid w:val="500D25B1"/>
    <w:rsid w:val="501904E4"/>
    <w:rsid w:val="50435795"/>
    <w:rsid w:val="505C6F2D"/>
    <w:rsid w:val="50613B68"/>
    <w:rsid w:val="50641091"/>
    <w:rsid w:val="50815EC1"/>
    <w:rsid w:val="512953B4"/>
    <w:rsid w:val="545652B0"/>
    <w:rsid w:val="55086FD1"/>
    <w:rsid w:val="553928F3"/>
    <w:rsid w:val="557B6942"/>
    <w:rsid w:val="55AA339A"/>
    <w:rsid w:val="55B975F1"/>
    <w:rsid w:val="565F7D25"/>
    <w:rsid w:val="57D1735D"/>
    <w:rsid w:val="57D90691"/>
    <w:rsid w:val="5AB4691C"/>
    <w:rsid w:val="5B503233"/>
    <w:rsid w:val="5C583771"/>
    <w:rsid w:val="5DBC5D9E"/>
    <w:rsid w:val="5DF86DC0"/>
    <w:rsid w:val="5E4B3EAA"/>
    <w:rsid w:val="5F6976F7"/>
    <w:rsid w:val="5F6D7533"/>
    <w:rsid w:val="5FC371E9"/>
    <w:rsid w:val="5FF12534"/>
    <w:rsid w:val="60710FAF"/>
    <w:rsid w:val="630269A0"/>
    <w:rsid w:val="64B80F5B"/>
    <w:rsid w:val="66E515EC"/>
    <w:rsid w:val="671B2F19"/>
    <w:rsid w:val="67C94009"/>
    <w:rsid w:val="692C442B"/>
    <w:rsid w:val="69F34FBD"/>
    <w:rsid w:val="69F73879"/>
    <w:rsid w:val="6D8707CD"/>
    <w:rsid w:val="6E4E4704"/>
    <w:rsid w:val="6ED27FF5"/>
    <w:rsid w:val="6F0E3034"/>
    <w:rsid w:val="6F6D4A97"/>
    <w:rsid w:val="70F96178"/>
    <w:rsid w:val="740C4047"/>
    <w:rsid w:val="74D65BBE"/>
    <w:rsid w:val="756A05E2"/>
    <w:rsid w:val="773E7A06"/>
    <w:rsid w:val="7807379F"/>
    <w:rsid w:val="78E02391"/>
    <w:rsid w:val="79481DAB"/>
    <w:rsid w:val="79E84D63"/>
    <w:rsid w:val="7A28257D"/>
    <w:rsid w:val="7B341DDF"/>
    <w:rsid w:val="7C451AAB"/>
    <w:rsid w:val="7E5F5E41"/>
    <w:rsid w:val="7EC31695"/>
    <w:rsid w:val="7EC85D15"/>
    <w:rsid w:val="7F585E9D"/>
    <w:rsid w:val="7FA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0"/>
    <w:pPr>
      <w:snapToGrid w:val="0"/>
      <w:ind w:firstLine="420"/>
      <w:jc w:val="left"/>
    </w:pPr>
  </w:style>
  <w:style w:type="paragraph" w:styleId="3">
    <w:name w:val="annotation text"/>
    <w:basedOn w:val="1"/>
    <w:link w:val="21"/>
    <w:semiHidden/>
    <w:qFormat/>
    <w:uiPriority w:val="99"/>
    <w:pPr>
      <w:jc w:val="left"/>
    </w:pPr>
  </w:style>
  <w:style w:type="paragraph" w:styleId="4">
    <w:name w:val="Body Text"/>
    <w:basedOn w:val="1"/>
    <w:link w:val="20"/>
    <w:qFormat/>
    <w:uiPriority w:val="99"/>
    <w:pPr>
      <w:spacing w:after="120"/>
    </w:pPr>
    <w:rPr>
      <w:kern w:val="0"/>
    </w:rPr>
  </w:style>
  <w:style w:type="paragraph" w:styleId="5">
    <w:name w:val="Body Text Indent"/>
    <w:basedOn w:val="1"/>
    <w:next w:val="6"/>
    <w:link w:val="22"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6">
    <w:name w:val="header"/>
    <w:basedOn w:val="1"/>
    <w:next w:val="7"/>
    <w:link w:val="2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</w:rPr>
  </w:style>
  <w:style w:type="paragraph" w:customStyle="1" w:styleId="7">
    <w:name w:val="样式5"/>
    <w:basedOn w:val="8"/>
    <w:qFormat/>
    <w:uiPriority w:val="99"/>
    <w:pPr>
      <w:tabs>
        <w:tab w:val="left" w:pos="408"/>
        <w:tab w:val="left" w:pos="952"/>
      </w:tabs>
      <w:spacing w:beforeLines="20" w:afterLines="20" w:line="480" w:lineRule="exact"/>
      <w:ind w:firstLine="523" w:firstLineChars="218"/>
      <w:jc w:val="both"/>
    </w:pPr>
    <w:rPr>
      <w:i/>
      <w:iCs/>
      <w:kern w:val="2"/>
      <w:szCs w:val="20"/>
    </w:rPr>
  </w:style>
  <w:style w:type="paragraph" w:customStyle="1" w:styleId="8">
    <w:name w:val="正文1"/>
    <w:basedOn w:val="1"/>
    <w:next w:val="1"/>
    <w:qFormat/>
    <w:uiPriority w:val="99"/>
    <w:pPr>
      <w:tabs>
        <w:tab w:val="left" w:pos="408"/>
        <w:tab w:val="left" w:pos="952"/>
      </w:tabs>
      <w:adjustRightInd w:val="0"/>
      <w:snapToGrid w:val="0"/>
      <w:spacing w:line="520" w:lineRule="exact"/>
      <w:jc w:val="center"/>
    </w:pPr>
    <w:rPr>
      <w:kern w:val="0"/>
      <w:sz w:val="24"/>
      <w:szCs w:val="24"/>
    </w:rPr>
  </w:style>
  <w:style w:type="paragraph" w:styleId="9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10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annotation subject"/>
    <w:basedOn w:val="3"/>
    <w:next w:val="3"/>
    <w:link w:val="27"/>
    <w:semiHidden/>
    <w:qFormat/>
    <w:uiPriority w:val="99"/>
    <w:rPr>
      <w:b/>
      <w:bCs/>
    </w:rPr>
  </w:style>
  <w:style w:type="paragraph" w:styleId="13">
    <w:name w:val="Body Text First Indent 2"/>
    <w:basedOn w:val="5"/>
    <w:next w:val="1"/>
    <w:link w:val="28"/>
    <w:qFormat/>
    <w:uiPriority w:val="99"/>
    <w:pPr>
      <w:ind w:firstLine="420"/>
    </w:pPr>
  </w:style>
  <w:style w:type="character" w:styleId="16">
    <w:name w:val="annotation reference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Default"/>
    <w:basedOn w:val="18"/>
    <w:qFormat/>
    <w:uiPriority w:val="99"/>
    <w:pPr>
      <w:jc w:val="left"/>
    </w:pPr>
    <w:rPr>
      <w:rFonts w:ascii="宋体" w:hAnsi="宋体" w:cs="Calibri"/>
      <w:color w:val="000000"/>
      <w:kern w:val="0"/>
      <w:sz w:val="24"/>
      <w:szCs w:val="24"/>
    </w:rPr>
  </w:style>
  <w:style w:type="paragraph" w:customStyle="1" w:styleId="18">
    <w:name w:val="纯文本1"/>
    <w:basedOn w:val="1"/>
    <w:qFormat/>
    <w:uiPriority w:val="0"/>
    <w:rPr>
      <w:rFonts w:hint="eastAsia" w:ascii="宋体" w:hAnsi="Courier New"/>
      <w:szCs w:val="22"/>
    </w:rPr>
  </w:style>
  <w:style w:type="paragraph" w:customStyle="1" w:styleId="19">
    <w:name w:val="0正文"/>
    <w:basedOn w:val="4"/>
    <w:qFormat/>
    <w:uiPriority w:val="99"/>
    <w:pPr>
      <w:spacing w:line="360" w:lineRule="auto"/>
      <w:ind w:firstLine="720" w:firstLineChars="200"/>
    </w:pPr>
    <w:rPr>
      <w:rFonts w:eastAsia="宋体"/>
      <w:sz w:val="24"/>
      <w:szCs w:val="22"/>
    </w:rPr>
  </w:style>
  <w:style w:type="character" w:customStyle="1" w:styleId="20">
    <w:name w:val="正文文本 Char"/>
    <w:link w:val="4"/>
    <w:semiHidden/>
    <w:qFormat/>
    <w:uiPriority w:val="99"/>
    <w:rPr>
      <w:rFonts w:eastAsia="仿宋_GB2312"/>
      <w:sz w:val="32"/>
      <w:szCs w:val="20"/>
    </w:rPr>
  </w:style>
  <w:style w:type="character" w:customStyle="1" w:styleId="21">
    <w:name w:val="批注文字 Char"/>
    <w:link w:val="3"/>
    <w:semiHidden/>
    <w:qFormat/>
    <w:locked/>
    <w:uiPriority w:val="99"/>
    <w:rPr>
      <w:rFonts w:eastAsia="仿宋_GB2312" w:cs="Times New Roman"/>
      <w:kern w:val="2"/>
      <w:sz w:val="32"/>
    </w:rPr>
  </w:style>
  <w:style w:type="character" w:customStyle="1" w:styleId="22">
    <w:name w:val="正文文本缩进 Char"/>
    <w:link w:val="5"/>
    <w:semiHidden/>
    <w:qFormat/>
    <w:locked/>
    <w:uiPriority w:val="99"/>
    <w:rPr>
      <w:rFonts w:eastAsia="仿宋_GB2312"/>
      <w:sz w:val="20"/>
    </w:rPr>
  </w:style>
  <w:style w:type="character" w:customStyle="1" w:styleId="23">
    <w:name w:val="页眉 Char"/>
    <w:link w:val="6"/>
    <w:semiHidden/>
    <w:qFormat/>
    <w:locked/>
    <w:uiPriority w:val="99"/>
    <w:rPr>
      <w:rFonts w:eastAsia="仿宋_GB2312"/>
      <w:sz w:val="18"/>
    </w:rPr>
  </w:style>
  <w:style w:type="character" w:customStyle="1" w:styleId="24">
    <w:name w:val="日期 Char"/>
    <w:link w:val="9"/>
    <w:qFormat/>
    <w:locked/>
    <w:uiPriority w:val="99"/>
    <w:rPr>
      <w:rFonts w:eastAsia="仿宋_GB2312"/>
      <w:kern w:val="2"/>
      <w:sz w:val="32"/>
    </w:rPr>
  </w:style>
  <w:style w:type="character" w:customStyle="1" w:styleId="25">
    <w:name w:val="批注框文本 Char"/>
    <w:link w:val="10"/>
    <w:semiHidden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26">
    <w:name w:val="页脚 Char"/>
    <w:link w:val="11"/>
    <w:qFormat/>
    <w:locked/>
    <w:uiPriority w:val="99"/>
    <w:rPr>
      <w:rFonts w:eastAsia="仿宋_GB2312"/>
      <w:kern w:val="2"/>
      <w:sz w:val="18"/>
    </w:rPr>
  </w:style>
  <w:style w:type="character" w:customStyle="1" w:styleId="27">
    <w:name w:val="批注主题 Char"/>
    <w:link w:val="12"/>
    <w:semiHidden/>
    <w:qFormat/>
    <w:locked/>
    <w:uiPriority w:val="99"/>
    <w:rPr>
      <w:rFonts w:eastAsia="仿宋_GB2312" w:cs="Times New Roman"/>
      <w:b/>
      <w:bCs/>
      <w:kern w:val="2"/>
      <w:sz w:val="32"/>
    </w:rPr>
  </w:style>
  <w:style w:type="character" w:customStyle="1" w:styleId="28">
    <w:name w:val="正文首行缩进 2 Char"/>
    <w:link w:val="13"/>
    <w:semiHidden/>
    <w:qFormat/>
    <w:locked/>
    <w:uiPriority w:val="99"/>
    <w:rPr>
      <w:rFonts w:eastAsia="仿宋_GB2312" w:cs="Times New Roman"/>
      <w:sz w:val="20"/>
      <w:szCs w:val="20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报告表正文"/>
    <w:basedOn w:val="1"/>
    <w:qFormat/>
    <w:uiPriority w:val="0"/>
    <w:pPr>
      <w:spacing w:line="360" w:lineRule="auto"/>
      <w:ind w:firstLine="480" w:firstLine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D60576-9B90-414D-8E54-52A886FFD3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1174</Words>
  <Characters>1274</Characters>
  <Lines>10</Lines>
  <Paragraphs>2</Paragraphs>
  <TotalTime>16</TotalTime>
  <ScaleCrop>false</ScaleCrop>
  <LinksUpToDate>false</LinksUpToDate>
  <CharactersWithSpaces>1322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2020-05-25T03:26:00Z</dcterms:created>
  <dc:creator>Administrator</dc:creator>
  <cp:lastModifiedBy>Administrator</cp:lastModifiedBy>
  <cp:lastPrinted>2022-08-08T07:33:00Z</cp:lastPrinted>
  <dcterms:modified xsi:type="dcterms:W3CDTF">2022-08-29T09:24:55Z</dcterms:modified>
  <dc:title>关于XPS挤塑板项目环境影响报告表的批复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6DBCF4E5A60A4C8B8F9194BFACB28BFA</vt:lpwstr>
  </property>
</Properties>
</file>